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1E41D" w14:textId="77777777" w:rsidR="002820DD" w:rsidRPr="002820DD" w:rsidRDefault="002820DD" w:rsidP="002820DD">
      <w:pPr>
        <w:shd w:val="clear" w:color="auto" w:fill="FFFFFF"/>
        <w:spacing w:after="150" w:line="240" w:lineRule="auto"/>
        <w:outlineLvl w:val="0"/>
        <w:rPr>
          <w:rFonts w:ascii="Arial" w:eastAsia="Times New Roman" w:hAnsi="Arial" w:cs="Arial"/>
          <w:b/>
          <w:bCs/>
          <w:color w:val="002158"/>
          <w:kern w:val="36"/>
          <w:sz w:val="36"/>
          <w:szCs w:val="36"/>
          <w:lang w:eastAsia="en-GB"/>
        </w:rPr>
      </w:pPr>
      <w:r w:rsidRPr="002820DD">
        <w:rPr>
          <w:rFonts w:ascii="Arial" w:eastAsia="Times New Roman" w:hAnsi="Arial" w:cs="Arial"/>
          <w:b/>
          <w:bCs/>
          <w:color w:val="002158"/>
          <w:kern w:val="36"/>
          <w:sz w:val="36"/>
          <w:szCs w:val="36"/>
          <w:lang w:eastAsia="en-GB"/>
        </w:rPr>
        <w:t>Questions</w:t>
      </w:r>
    </w:p>
    <w:p w14:paraId="3F090553" w14:textId="77777777" w:rsidR="002820DD" w:rsidRPr="002820DD" w:rsidRDefault="002820DD" w:rsidP="002820DD">
      <w:pPr>
        <w:shd w:val="clear" w:color="auto" w:fill="FFFFFF"/>
        <w:spacing w:after="0" w:line="240" w:lineRule="auto"/>
        <w:outlineLvl w:val="1"/>
        <w:rPr>
          <w:rFonts w:ascii="Arial" w:eastAsia="Times New Roman" w:hAnsi="Arial" w:cs="Arial"/>
          <w:color w:val="002158"/>
          <w:sz w:val="27"/>
          <w:szCs w:val="27"/>
          <w:lang w:eastAsia="en-GB"/>
        </w:rPr>
      </w:pPr>
      <w:r w:rsidRPr="002820DD">
        <w:rPr>
          <w:rFonts w:ascii="Arial" w:eastAsia="Times New Roman" w:hAnsi="Arial" w:cs="Arial"/>
          <w:color w:val="002158"/>
          <w:sz w:val="27"/>
          <w:szCs w:val="27"/>
          <w:lang w:eastAsia="en-GB"/>
        </w:rPr>
        <w:t>Question 1</w:t>
      </w:r>
    </w:p>
    <w:p w14:paraId="581E245B" w14:textId="286FC275" w:rsidR="002820DD" w:rsidRDefault="002820DD" w:rsidP="002820DD">
      <w:pPr>
        <w:numPr>
          <w:ilvl w:val="0"/>
          <w:numId w:val="1"/>
        </w:numPr>
        <w:shd w:val="clear" w:color="auto" w:fill="FFFFFF"/>
        <w:spacing w:before="120" w:after="120"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a.Describe the aims of the Human Rights Act 1998, and the ways in which it seeks to ensure that individuals’ rights under the European Convention on Human Rights are protected in the United Kingdom’s courts.</w:t>
      </w:r>
    </w:p>
    <w:p w14:paraId="6283C377" w14:textId="569F2D8A" w:rsidR="005C6A2D" w:rsidRDefault="005C6A2D" w:rsidP="005C6A2D">
      <w:pPr>
        <w:shd w:val="clear" w:color="auto" w:fill="FFFFFF"/>
        <w:spacing w:before="120" w:after="120" w:line="240" w:lineRule="auto"/>
        <w:ind w:left="414"/>
        <w:rPr>
          <w:rFonts w:ascii="Arial" w:eastAsia="Times New Roman" w:hAnsi="Arial" w:cs="Arial"/>
          <w:b/>
          <w:color w:val="000000"/>
          <w:sz w:val="21"/>
          <w:szCs w:val="21"/>
          <w:lang w:eastAsia="en-GB"/>
        </w:rPr>
      </w:pPr>
      <w:r w:rsidRPr="00B779E7">
        <w:rPr>
          <w:rFonts w:ascii="Arial" w:eastAsia="Times New Roman" w:hAnsi="Arial" w:cs="Arial"/>
          <w:b/>
          <w:color w:val="000000"/>
          <w:sz w:val="21"/>
          <w:szCs w:val="21"/>
          <w:lang w:eastAsia="en-GB"/>
        </w:rPr>
        <w:t>Aims of the Human</w:t>
      </w:r>
      <w:r w:rsidR="00B779E7" w:rsidRPr="00B779E7">
        <w:rPr>
          <w:rFonts w:ascii="Arial" w:eastAsia="Times New Roman" w:hAnsi="Arial" w:cs="Arial"/>
          <w:b/>
          <w:color w:val="000000"/>
          <w:sz w:val="21"/>
          <w:szCs w:val="21"/>
          <w:lang w:eastAsia="en-GB"/>
        </w:rPr>
        <w:t xml:space="preserve"> Rights Act 1998</w:t>
      </w:r>
    </w:p>
    <w:p w14:paraId="33A2EE29" w14:textId="35F369E8" w:rsidR="00B779E7" w:rsidRDefault="00B779E7" w:rsidP="005C6A2D">
      <w:pPr>
        <w:shd w:val="clear" w:color="auto" w:fill="FFFFFF"/>
        <w:spacing w:before="120" w:after="120" w:line="240" w:lineRule="auto"/>
        <w:ind w:left="414"/>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 xml:space="preserve">The Human Rights Act 1998 is an Act of parliament of the United Kingdom which received Royal Assent on 9 November </w:t>
      </w:r>
      <w:r w:rsidR="00CA043F">
        <w:rPr>
          <w:rFonts w:ascii="Arial" w:eastAsia="Times New Roman" w:hAnsi="Arial" w:cs="Arial"/>
          <w:color w:val="000000"/>
          <w:sz w:val="21"/>
          <w:szCs w:val="21"/>
          <w:lang w:eastAsia="en-GB"/>
        </w:rPr>
        <w:t>1998 and</w:t>
      </w:r>
      <w:r>
        <w:rPr>
          <w:rFonts w:ascii="Arial" w:eastAsia="Times New Roman" w:hAnsi="Arial" w:cs="Arial"/>
          <w:color w:val="000000"/>
          <w:sz w:val="21"/>
          <w:szCs w:val="21"/>
          <w:lang w:eastAsia="en-GB"/>
        </w:rPr>
        <w:t xml:space="preserve"> came into force on 2 October </w:t>
      </w:r>
      <w:r w:rsidR="00CA043F">
        <w:rPr>
          <w:rFonts w:ascii="Arial" w:eastAsia="Times New Roman" w:hAnsi="Arial" w:cs="Arial"/>
          <w:color w:val="000000"/>
          <w:sz w:val="21"/>
          <w:szCs w:val="21"/>
          <w:lang w:eastAsia="en-GB"/>
        </w:rPr>
        <w:t>2000, its</w:t>
      </w:r>
      <w:r>
        <w:rPr>
          <w:rFonts w:ascii="Arial" w:eastAsia="Times New Roman" w:hAnsi="Arial" w:cs="Arial"/>
          <w:color w:val="000000"/>
          <w:sz w:val="21"/>
          <w:szCs w:val="21"/>
          <w:lang w:eastAsia="en-GB"/>
        </w:rPr>
        <w:t xml:space="preserve"> aim was to incorporate into UK law the rights contained in the European Convention on Human Rights .The Act was also to make a remedy for breach of a convention right available in UK courts without the need to go to the European Court of Human Rights in Strasbourg.</w:t>
      </w:r>
    </w:p>
    <w:p w14:paraId="4EE6289A" w14:textId="3A684524" w:rsidR="00B779E7" w:rsidRPr="003916C2" w:rsidRDefault="00B779E7" w:rsidP="00B779E7">
      <w:pPr>
        <w:shd w:val="clear" w:color="auto" w:fill="FFFFFF"/>
        <w:spacing w:before="120" w:after="120" w:line="240" w:lineRule="auto"/>
        <w:ind w:left="414"/>
        <w:rPr>
          <w:rFonts w:ascii="Arial" w:eastAsia="Times New Roman" w:hAnsi="Arial" w:cs="Arial"/>
          <w:b/>
          <w:color w:val="000000"/>
          <w:sz w:val="21"/>
          <w:szCs w:val="21"/>
          <w:lang w:eastAsia="en-GB"/>
        </w:rPr>
      </w:pPr>
      <w:r w:rsidRPr="003916C2">
        <w:rPr>
          <w:rFonts w:ascii="Arial" w:eastAsia="Times New Roman" w:hAnsi="Arial" w:cs="Arial"/>
          <w:b/>
          <w:color w:val="000000"/>
          <w:sz w:val="21"/>
          <w:szCs w:val="21"/>
          <w:lang w:eastAsia="en-GB"/>
        </w:rPr>
        <w:t>Ho</w:t>
      </w:r>
      <w:r w:rsidR="003916C2" w:rsidRPr="003916C2">
        <w:rPr>
          <w:rFonts w:ascii="Arial" w:eastAsia="Times New Roman" w:hAnsi="Arial" w:cs="Arial"/>
          <w:b/>
          <w:color w:val="000000"/>
          <w:sz w:val="21"/>
          <w:szCs w:val="21"/>
          <w:lang w:eastAsia="en-GB"/>
        </w:rPr>
        <w:t xml:space="preserve">w the Human Rights Act 1998 ensures that individual rights are protected in United </w:t>
      </w:r>
      <w:r w:rsidR="00CA043F" w:rsidRPr="003916C2">
        <w:rPr>
          <w:rFonts w:ascii="Arial" w:eastAsia="Times New Roman" w:hAnsi="Arial" w:cs="Arial"/>
          <w:b/>
          <w:color w:val="000000"/>
          <w:sz w:val="21"/>
          <w:szCs w:val="21"/>
          <w:lang w:eastAsia="en-GB"/>
        </w:rPr>
        <w:t>Kingdom’s</w:t>
      </w:r>
      <w:r w:rsidR="003916C2" w:rsidRPr="003916C2">
        <w:rPr>
          <w:rFonts w:ascii="Arial" w:eastAsia="Times New Roman" w:hAnsi="Arial" w:cs="Arial"/>
          <w:b/>
          <w:color w:val="000000"/>
          <w:sz w:val="21"/>
          <w:szCs w:val="21"/>
          <w:lang w:eastAsia="en-GB"/>
        </w:rPr>
        <w:t xml:space="preserve"> courts</w:t>
      </w:r>
    </w:p>
    <w:p w14:paraId="6F81AE4D" w14:textId="2182D9C8" w:rsidR="00985B61" w:rsidRDefault="00985B61" w:rsidP="00985B61">
      <w:pPr>
        <w:shd w:val="clear" w:color="auto" w:fill="FFFFFF"/>
        <w:spacing w:before="120" w:after="120" w:line="240" w:lineRule="auto"/>
        <w:ind w:left="414"/>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 xml:space="preserve">Section 6 of the act provides that it is unlawful for public authority to act in a way that is incompatible with a convention right (that is it cannot act in a way that would breach any of the rights in the convention whereby it is a positive duty placed on public authority to uphold the </w:t>
      </w:r>
      <w:r w:rsidR="00EF73FB">
        <w:rPr>
          <w:rFonts w:ascii="Arial" w:eastAsia="Times New Roman" w:hAnsi="Arial" w:cs="Arial"/>
          <w:color w:val="000000"/>
          <w:sz w:val="21"/>
          <w:szCs w:val="21"/>
          <w:lang w:eastAsia="en-GB"/>
        </w:rPr>
        <w:t>convention rights)</w:t>
      </w:r>
    </w:p>
    <w:p w14:paraId="33E9A360" w14:textId="7594D5E8" w:rsidR="00EF73FB" w:rsidRDefault="00EF73FB" w:rsidP="00985B61">
      <w:pPr>
        <w:shd w:val="clear" w:color="auto" w:fill="FFFFFF"/>
        <w:spacing w:before="120" w:after="120" w:line="240" w:lineRule="auto"/>
        <w:ind w:left="414"/>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 xml:space="preserve">Section 3 of the Act obliges the court to read and give </w:t>
      </w:r>
      <w:r w:rsidR="001C271F">
        <w:rPr>
          <w:rFonts w:ascii="Arial" w:eastAsia="Times New Roman" w:hAnsi="Arial" w:cs="Arial"/>
          <w:color w:val="000000"/>
          <w:sz w:val="21"/>
          <w:szCs w:val="21"/>
          <w:lang w:eastAsia="en-GB"/>
        </w:rPr>
        <w:t xml:space="preserve">effect to legislation in a way that is compatible with the convention rights meaning that when considering any piece of </w:t>
      </w:r>
      <w:r w:rsidR="00CA043F">
        <w:rPr>
          <w:rFonts w:ascii="Arial" w:eastAsia="Times New Roman" w:hAnsi="Arial" w:cs="Arial"/>
          <w:color w:val="000000"/>
          <w:sz w:val="21"/>
          <w:szCs w:val="21"/>
          <w:lang w:eastAsia="en-GB"/>
        </w:rPr>
        <w:t>legislation a</w:t>
      </w:r>
      <w:r w:rsidR="001C271F">
        <w:rPr>
          <w:rFonts w:ascii="Arial" w:eastAsia="Times New Roman" w:hAnsi="Arial" w:cs="Arial"/>
          <w:color w:val="000000"/>
          <w:sz w:val="21"/>
          <w:szCs w:val="21"/>
          <w:lang w:eastAsia="en-GB"/>
        </w:rPr>
        <w:t xml:space="preserve"> court must interpret in line with the convention rights (for example any family law provisions have to be considered in the light of Article 8: the right to respect for private and family life)</w:t>
      </w:r>
    </w:p>
    <w:p w14:paraId="1765A3C8" w14:textId="6E8F1B61" w:rsidR="002820DD" w:rsidRDefault="00EF73FB" w:rsidP="00926D91">
      <w:pPr>
        <w:shd w:val="clear" w:color="auto" w:fill="FFFFFF"/>
        <w:spacing w:before="120" w:after="120" w:line="240" w:lineRule="auto"/>
        <w:ind w:left="414"/>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br/>
      </w:r>
      <w:r w:rsidR="00926D91">
        <w:rPr>
          <w:rFonts w:ascii="Arial" w:eastAsia="Times New Roman" w:hAnsi="Arial" w:cs="Arial"/>
          <w:color w:val="000000"/>
          <w:sz w:val="21"/>
          <w:szCs w:val="21"/>
          <w:lang w:eastAsia="en-GB"/>
        </w:rPr>
        <w:t xml:space="preserve">b) </w:t>
      </w:r>
      <w:r w:rsidR="00AD60E4" w:rsidRPr="002820DD">
        <w:rPr>
          <w:rFonts w:ascii="Arial" w:eastAsia="Times New Roman" w:hAnsi="Arial" w:cs="Arial"/>
          <w:color w:val="000000"/>
          <w:sz w:val="21"/>
          <w:szCs w:val="21"/>
          <w:lang w:eastAsia="en-GB"/>
        </w:rPr>
        <w:t>Describe</w:t>
      </w:r>
      <w:r w:rsidR="002820DD" w:rsidRPr="002820DD">
        <w:rPr>
          <w:rFonts w:ascii="Arial" w:eastAsia="Times New Roman" w:hAnsi="Arial" w:cs="Arial"/>
          <w:color w:val="000000"/>
          <w:sz w:val="21"/>
          <w:szCs w:val="21"/>
          <w:lang w:eastAsia="en-GB"/>
        </w:rPr>
        <w:t xml:space="preserve"> how the membership of the European Parliament is decided, and the Parliament’s main roles in the EU.</w:t>
      </w:r>
    </w:p>
    <w:p w14:paraId="3CF030E5" w14:textId="5A1D8FF6" w:rsidR="000A2607" w:rsidRPr="00D7004F" w:rsidRDefault="00D7004F" w:rsidP="00926D91">
      <w:pPr>
        <w:shd w:val="clear" w:color="auto" w:fill="FFFFFF"/>
        <w:spacing w:before="120" w:after="120" w:line="240" w:lineRule="auto"/>
        <w:rPr>
          <w:rFonts w:ascii="Arial" w:eastAsia="Times New Roman" w:hAnsi="Arial" w:cs="Arial"/>
          <w:b/>
          <w:color w:val="000000"/>
          <w:sz w:val="21"/>
          <w:szCs w:val="21"/>
          <w:lang w:eastAsia="en-GB"/>
        </w:rPr>
      </w:pPr>
      <w:r w:rsidRPr="00D7004F">
        <w:rPr>
          <w:rFonts w:ascii="Arial" w:eastAsia="Times New Roman" w:hAnsi="Arial" w:cs="Arial"/>
          <w:b/>
          <w:color w:val="000000"/>
          <w:sz w:val="21"/>
          <w:szCs w:val="21"/>
          <w:lang w:eastAsia="en-GB"/>
        </w:rPr>
        <w:t>The membership of European Parliament</w:t>
      </w:r>
    </w:p>
    <w:p w14:paraId="39E7F836" w14:textId="587F4017" w:rsidR="000A2607" w:rsidRPr="000A2607" w:rsidRDefault="000A2607" w:rsidP="00926D91">
      <w:pPr>
        <w:pStyle w:val="NormalWeb"/>
        <w:shd w:val="clear" w:color="auto" w:fill="FFFFFF"/>
        <w:spacing w:before="0" w:beforeAutospacing="0"/>
        <w:rPr>
          <w:rFonts w:ascii="Helvetica" w:hAnsi="Helvetica" w:cs="Helvetica"/>
          <w:color w:val="1E1E1F"/>
          <w:sz w:val="21"/>
          <w:szCs w:val="21"/>
        </w:rPr>
      </w:pPr>
      <w:r>
        <w:rPr>
          <w:rFonts w:ascii="Arial" w:hAnsi="Arial" w:cs="Arial"/>
          <w:color w:val="000000"/>
          <w:sz w:val="21"/>
          <w:szCs w:val="21"/>
        </w:rPr>
        <w:t xml:space="preserve"> </w:t>
      </w:r>
      <w:r>
        <w:rPr>
          <w:rFonts w:ascii="Helvetica" w:hAnsi="Helvetica" w:cs="Helvetica"/>
          <w:color w:val="1E1E1F"/>
          <w:sz w:val="21"/>
          <w:szCs w:val="21"/>
          <w:shd w:val="clear" w:color="auto" w:fill="FFFFFF"/>
        </w:rPr>
        <w:t>The general rules for the composition of the European Parliament are laid down in Article 14(2) of the TEU, which stipulates that the European Council shall adopt by unanimity, on the initiative of Parliament and with its consent, a decision establishing composition. It also states that Parliament is to be composed of no more than 751 representatives of the EU’s citizens (750 Members plus the President). In addition, the representation of citizens is ‘degressively proportional’, with a minimum threshold of six members per Member State. No Member State can have more than 96 seats.</w:t>
      </w:r>
      <w:r w:rsidRPr="000A2607">
        <w:rPr>
          <w:rFonts w:ascii="Helvetica" w:hAnsi="Helvetica" w:cs="Helvetica"/>
          <w:color w:val="1E1E1F"/>
          <w:sz w:val="21"/>
          <w:szCs w:val="21"/>
          <w:shd w:val="clear" w:color="auto" w:fill="FFFFFF"/>
        </w:rPr>
        <w:t xml:space="preserve"> </w:t>
      </w:r>
      <w:r>
        <w:rPr>
          <w:rFonts w:ascii="Helvetica" w:hAnsi="Helvetica" w:cs="Helvetica"/>
          <w:color w:val="1E1E1F"/>
          <w:sz w:val="21"/>
          <w:szCs w:val="21"/>
          <w:shd w:val="clear" w:color="auto" w:fill="FFFFFF"/>
        </w:rPr>
        <w:t>Degressive proportionality means that although the total number of seats is allocated on the basis of Member State population size, more populous Member States agree to be under-represented in order to favour a greater representation of less populous Member States: the larger the country, the smaller the number of seats relative to its population. This concept has been further defined in the successive European Council Decisions taken under Article 14(2) of the TEU since the entry into force of the Lisbon Treaty.</w:t>
      </w:r>
      <w:r w:rsidRPr="000A2607">
        <w:rPr>
          <w:rFonts w:ascii="Helvetica" w:hAnsi="Helvetica" w:cs="Helvetica"/>
          <w:color w:val="1E1E1F"/>
          <w:sz w:val="21"/>
          <w:szCs w:val="21"/>
        </w:rPr>
        <w:t xml:space="preserve"> The United Kingdom’s withdrawal from the EU necessitated a rethink about how the country’s 73 seats should be redistributed. Fo</w:t>
      </w:r>
      <w:bookmarkStart w:id="0" w:name="_ftnref1"/>
      <w:r w:rsidR="00D7004F">
        <w:rPr>
          <w:rFonts w:ascii="Helvetica" w:hAnsi="Helvetica" w:cs="Helvetica"/>
          <w:color w:val="1E1E1F"/>
          <w:sz w:val="21"/>
          <w:szCs w:val="21"/>
        </w:rPr>
        <w:t xml:space="preserve">llowing a proposal by Parliament </w:t>
      </w:r>
      <w:bookmarkEnd w:id="0"/>
      <w:r w:rsidRPr="000A2607">
        <w:rPr>
          <w:rFonts w:ascii="Helvetica" w:hAnsi="Helvetica" w:cs="Helvetica"/>
          <w:color w:val="1E1E1F"/>
          <w:sz w:val="21"/>
          <w:szCs w:val="21"/>
        </w:rPr>
        <w:t xml:space="preserve"> on 28 June 2018 the European Council adopted a decision establishing the composition of Parliament after the elections in 2019 The total number of seats was cut from 751 to 705, with some Member States seeing their share increased. The number of MEPs to be elected in each Member State was agreed as follows: Germany 96; France 79; Italy 76; Spain 59; Poland 52; Romania 33; the Netherlands 29; Belgium, Greece, Hungary, Portugal, Sweden and the Czech Republic 21; Austria 19; Bulgaria 17; Finland, Denmark and Slovakia 14; Ireland 13; Croatia 12; Lithuania 11; Latvia and Slovenia 8; Estonia 7; Cyprus, Luxembourg and Malta 6. However, Article 3(2) of the decision also provided that should the UK still be a Member State at the beginning of the 2019–2024 parliamentary term (i.e. in June 2019), the number of MEPs per Member State would remain the same as the preceding term</w:t>
      </w:r>
      <w:r w:rsidRPr="00D7004F">
        <w:rPr>
          <w:rFonts w:ascii="Helvetica" w:hAnsi="Helvetica" w:cs="Helvetica"/>
          <w:color w:val="1E1E1F"/>
          <w:sz w:val="21"/>
          <w:szCs w:val="21"/>
        </w:rPr>
        <w:t> </w:t>
      </w:r>
      <w:r w:rsidRPr="000A2607">
        <w:rPr>
          <w:rFonts w:ascii="Helvetica" w:hAnsi="Helvetica" w:cs="Helvetica"/>
          <w:color w:val="1E1E1F"/>
          <w:sz w:val="21"/>
          <w:szCs w:val="21"/>
        </w:rPr>
        <w:t>until the UK’s withdrawal became legally effective. The withdrawal agreement entered into force on 31 January 2020.</w:t>
      </w:r>
    </w:p>
    <w:p w14:paraId="132A148C" w14:textId="32A92439" w:rsidR="000A2607" w:rsidRDefault="000A2607" w:rsidP="000A2607">
      <w:pPr>
        <w:shd w:val="clear" w:color="auto" w:fill="FFFFFF"/>
        <w:spacing w:after="100" w:afterAutospacing="1" w:line="240" w:lineRule="auto"/>
        <w:rPr>
          <w:rFonts w:ascii="Helvetica" w:eastAsia="Times New Roman" w:hAnsi="Helvetica" w:cs="Helvetica"/>
          <w:color w:val="1E1E1F"/>
          <w:sz w:val="21"/>
          <w:szCs w:val="21"/>
          <w:lang w:eastAsia="en-GB"/>
        </w:rPr>
      </w:pPr>
      <w:r w:rsidRPr="000A2607">
        <w:rPr>
          <w:rFonts w:ascii="Helvetica" w:eastAsia="Times New Roman" w:hAnsi="Helvetica" w:cs="Helvetica"/>
          <w:color w:val="1E1E1F"/>
          <w:sz w:val="21"/>
          <w:szCs w:val="21"/>
          <w:lang w:eastAsia="en-GB"/>
        </w:rPr>
        <w:lastRenderedPageBreak/>
        <w:t>After every election, Parliament has to meet, without requiring to be convened, on the first Tuesday after expiry of an interval of one</w:t>
      </w:r>
      <w:bookmarkStart w:id="1" w:name="_ftnref4"/>
      <w:r w:rsidR="005124E2">
        <w:rPr>
          <w:rFonts w:ascii="Helvetica" w:eastAsia="Times New Roman" w:hAnsi="Helvetica" w:cs="Helvetica"/>
          <w:color w:val="1E1E1F"/>
          <w:sz w:val="21"/>
          <w:szCs w:val="21"/>
          <w:lang w:eastAsia="en-GB"/>
        </w:rPr>
        <w:t xml:space="preserve"> month (Act of 20 September 197</w:t>
      </w:r>
      <w:bookmarkEnd w:id="1"/>
      <w:r w:rsidR="005124E2">
        <w:rPr>
          <w:rFonts w:ascii="Helvetica" w:eastAsia="Times New Roman" w:hAnsi="Helvetica" w:cs="Helvetica"/>
          <w:color w:val="1E1E1F"/>
          <w:sz w:val="21"/>
          <w:szCs w:val="21"/>
          <w:lang w:eastAsia="en-GB"/>
        </w:rPr>
        <w:t>6)</w:t>
      </w:r>
      <w:r w:rsidRPr="000A2607">
        <w:rPr>
          <w:rFonts w:ascii="Helvetica" w:eastAsia="Times New Roman" w:hAnsi="Helvetica" w:cs="Helvetica"/>
          <w:color w:val="1E1E1F"/>
          <w:sz w:val="21"/>
          <w:szCs w:val="21"/>
          <w:lang w:eastAsia="en-GB"/>
        </w:rPr>
        <w:t>. In accordance with Article 229(1) of the TFEU, Parliament must also meet, without requiring to be convened, on the second Tuesday in March each year.</w:t>
      </w:r>
    </w:p>
    <w:p w14:paraId="27FF6D7E" w14:textId="7492479E" w:rsidR="00D7004F" w:rsidRDefault="00D7004F" w:rsidP="000A2607">
      <w:pPr>
        <w:shd w:val="clear" w:color="auto" w:fill="FFFFFF"/>
        <w:spacing w:after="100" w:afterAutospacing="1" w:line="240" w:lineRule="auto"/>
        <w:rPr>
          <w:rFonts w:ascii="Helvetica" w:eastAsia="Times New Roman" w:hAnsi="Helvetica" w:cs="Helvetica"/>
          <w:b/>
          <w:color w:val="1E1E1F"/>
          <w:sz w:val="21"/>
          <w:szCs w:val="21"/>
          <w:lang w:eastAsia="en-GB"/>
        </w:rPr>
      </w:pPr>
      <w:r w:rsidRPr="00D7004F">
        <w:rPr>
          <w:rFonts w:ascii="Helvetica" w:eastAsia="Times New Roman" w:hAnsi="Helvetica" w:cs="Helvetica"/>
          <w:b/>
          <w:color w:val="1E1E1F"/>
          <w:sz w:val="21"/>
          <w:szCs w:val="21"/>
          <w:lang w:eastAsia="en-GB"/>
        </w:rPr>
        <w:t>The roles of EU Parliament</w:t>
      </w:r>
    </w:p>
    <w:p w14:paraId="2AD2814B" w14:textId="35ECE223" w:rsidR="00D7004F" w:rsidRDefault="00BB02F7" w:rsidP="00D7004F">
      <w:pPr>
        <w:shd w:val="clear" w:color="auto" w:fill="FFFFFF"/>
        <w:spacing w:after="100" w:afterAutospacing="1" w:line="240" w:lineRule="auto"/>
        <w:rPr>
          <w:rFonts w:ascii="Helvetica" w:eastAsia="Times New Roman" w:hAnsi="Helvetica" w:cs="Helvetica"/>
          <w:color w:val="1E1E1F"/>
          <w:sz w:val="21"/>
          <w:szCs w:val="21"/>
          <w:lang w:eastAsia="en-GB"/>
        </w:rPr>
      </w:pPr>
      <w:r w:rsidRPr="00D7004F">
        <w:rPr>
          <w:rFonts w:ascii="Helvetica" w:eastAsia="Times New Roman" w:hAnsi="Helvetica" w:cs="Helvetica"/>
          <w:color w:val="1E1E1F"/>
          <w:sz w:val="21"/>
          <w:szCs w:val="21"/>
          <w:lang w:eastAsia="en-GB"/>
        </w:rPr>
        <w:t>1. Guard</w:t>
      </w:r>
      <w:r w:rsidR="00D7004F">
        <w:rPr>
          <w:rFonts w:ascii="Helvetica" w:eastAsia="Times New Roman" w:hAnsi="Helvetica" w:cs="Helvetica"/>
          <w:color w:val="1E1E1F"/>
          <w:sz w:val="21"/>
          <w:szCs w:val="21"/>
          <w:lang w:eastAsia="en-GB"/>
        </w:rPr>
        <w:t xml:space="preserve"> human rights and democracy of </w:t>
      </w:r>
      <w:r>
        <w:rPr>
          <w:rFonts w:ascii="Helvetica" w:eastAsia="Times New Roman" w:hAnsi="Helvetica" w:cs="Helvetica"/>
          <w:color w:val="1E1E1F"/>
          <w:sz w:val="21"/>
          <w:szCs w:val="21"/>
          <w:lang w:eastAsia="en-GB"/>
        </w:rPr>
        <w:t>EU, the</w:t>
      </w:r>
      <w:r w:rsidR="00D7004F">
        <w:rPr>
          <w:rFonts w:ascii="Helvetica" w:eastAsia="Times New Roman" w:hAnsi="Helvetica" w:cs="Helvetica"/>
          <w:color w:val="1E1E1F"/>
          <w:sz w:val="21"/>
          <w:szCs w:val="21"/>
          <w:lang w:eastAsia="en-GB"/>
        </w:rPr>
        <w:t xml:space="preserve"> members of the parliament are primarily responsible for represent</w:t>
      </w:r>
      <w:r w:rsidR="00322FAD">
        <w:rPr>
          <w:rFonts w:ascii="Helvetica" w:eastAsia="Times New Roman" w:hAnsi="Helvetica" w:cs="Helvetica"/>
          <w:color w:val="1E1E1F"/>
          <w:sz w:val="21"/>
          <w:szCs w:val="21"/>
          <w:lang w:eastAsia="en-GB"/>
        </w:rPr>
        <w:t xml:space="preserve">ing citizens at EU level and defending their interests to EU leaders and the institutions </w:t>
      </w:r>
    </w:p>
    <w:p w14:paraId="4388997F" w14:textId="7AEA894B" w:rsidR="00322FAD" w:rsidRDefault="00BB02F7" w:rsidP="00D7004F">
      <w:pPr>
        <w:shd w:val="clear" w:color="auto" w:fill="FFFFFF"/>
        <w:spacing w:after="100" w:afterAutospacing="1" w:line="240" w:lineRule="auto"/>
        <w:rPr>
          <w:rFonts w:ascii="Helvetica" w:eastAsia="Times New Roman" w:hAnsi="Helvetica" w:cs="Helvetica"/>
          <w:color w:val="1E1E1F"/>
          <w:sz w:val="21"/>
          <w:szCs w:val="21"/>
          <w:lang w:eastAsia="en-GB"/>
        </w:rPr>
      </w:pPr>
      <w:r>
        <w:rPr>
          <w:rFonts w:ascii="Helvetica" w:eastAsia="Times New Roman" w:hAnsi="Helvetica" w:cs="Helvetica"/>
          <w:color w:val="1E1E1F"/>
          <w:sz w:val="21"/>
          <w:szCs w:val="21"/>
          <w:lang w:eastAsia="en-GB"/>
        </w:rPr>
        <w:t>2. The</w:t>
      </w:r>
      <w:r w:rsidR="00322FAD">
        <w:rPr>
          <w:rFonts w:ascii="Helvetica" w:eastAsia="Times New Roman" w:hAnsi="Helvetica" w:cs="Helvetica"/>
          <w:color w:val="1E1E1F"/>
          <w:sz w:val="21"/>
          <w:szCs w:val="21"/>
          <w:lang w:eastAsia="en-GB"/>
        </w:rPr>
        <w:t xml:space="preserve"> Parliament decides jointly with the council of the EU on laws</w:t>
      </w:r>
      <w:r w:rsidR="00661253">
        <w:rPr>
          <w:rFonts w:ascii="Helvetica" w:eastAsia="Times New Roman" w:hAnsi="Helvetica" w:cs="Helvetica"/>
          <w:color w:val="1E1E1F"/>
          <w:sz w:val="21"/>
          <w:szCs w:val="21"/>
          <w:lang w:eastAsia="en-GB"/>
        </w:rPr>
        <w:t xml:space="preserve"> that affects the daily lives of EU citizens through the use of parliamentary committees such laws include freedom of </w:t>
      </w:r>
      <w:r>
        <w:rPr>
          <w:rFonts w:ascii="Helvetica" w:eastAsia="Times New Roman" w:hAnsi="Helvetica" w:cs="Helvetica"/>
          <w:color w:val="1E1E1F"/>
          <w:sz w:val="21"/>
          <w:szCs w:val="21"/>
          <w:lang w:eastAsia="en-GB"/>
        </w:rPr>
        <w:t>travel, consumer</w:t>
      </w:r>
      <w:r w:rsidR="00661253">
        <w:rPr>
          <w:rFonts w:ascii="Helvetica" w:eastAsia="Times New Roman" w:hAnsi="Helvetica" w:cs="Helvetica"/>
          <w:color w:val="1E1E1F"/>
          <w:sz w:val="21"/>
          <w:szCs w:val="21"/>
          <w:lang w:eastAsia="en-GB"/>
        </w:rPr>
        <w:t xml:space="preserve"> protection food safety and environment </w:t>
      </w:r>
    </w:p>
    <w:p w14:paraId="1D6D4E5F" w14:textId="07107864" w:rsidR="007C2DCF" w:rsidRDefault="007C2DCF" w:rsidP="00D7004F">
      <w:pPr>
        <w:shd w:val="clear" w:color="auto" w:fill="FFFFFF"/>
        <w:spacing w:after="100" w:afterAutospacing="1" w:line="240" w:lineRule="auto"/>
        <w:rPr>
          <w:rFonts w:ascii="Helvetica" w:eastAsia="Times New Roman" w:hAnsi="Helvetica" w:cs="Helvetica"/>
          <w:color w:val="1E1E1F"/>
          <w:sz w:val="21"/>
          <w:szCs w:val="21"/>
          <w:lang w:eastAsia="en-GB"/>
        </w:rPr>
      </w:pPr>
      <w:r>
        <w:rPr>
          <w:rFonts w:ascii="Helvetica" w:eastAsia="Times New Roman" w:hAnsi="Helvetica" w:cs="Helvetica"/>
          <w:color w:val="1E1E1F"/>
          <w:sz w:val="21"/>
          <w:szCs w:val="21"/>
          <w:lang w:eastAsia="en-GB"/>
        </w:rPr>
        <w:t>3.</w:t>
      </w:r>
      <w:r w:rsidR="00E16EEF">
        <w:rPr>
          <w:rFonts w:ascii="Helvetica" w:eastAsia="Times New Roman" w:hAnsi="Helvetica" w:cs="Helvetica"/>
          <w:color w:val="1E1E1F"/>
          <w:sz w:val="21"/>
          <w:szCs w:val="21"/>
          <w:lang w:eastAsia="en-GB"/>
        </w:rPr>
        <w:t xml:space="preserve">The parliament has budgetary powers along with the council of the European Union  a 7 year financial framework is adopted and the annual budget is approved, it also monitors EU funds to ensure correct use of funds </w:t>
      </w:r>
    </w:p>
    <w:p w14:paraId="1DE73E84" w14:textId="3EAE51B7" w:rsidR="00E16EEF" w:rsidRDefault="00BB02F7" w:rsidP="00D7004F">
      <w:pPr>
        <w:shd w:val="clear" w:color="auto" w:fill="FFFFFF"/>
        <w:spacing w:after="100" w:afterAutospacing="1" w:line="240" w:lineRule="auto"/>
        <w:rPr>
          <w:rFonts w:ascii="Helvetica" w:eastAsia="Times New Roman" w:hAnsi="Helvetica" w:cs="Helvetica"/>
          <w:color w:val="1E1E1F"/>
          <w:sz w:val="21"/>
          <w:szCs w:val="21"/>
          <w:lang w:eastAsia="en-GB"/>
        </w:rPr>
      </w:pPr>
      <w:r>
        <w:rPr>
          <w:rFonts w:ascii="Helvetica" w:eastAsia="Times New Roman" w:hAnsi="Helvetica" w:cs="Helvetica"/>
          <w:color w:val="1E1E1F"/>
          <w:sz w:val="21"/>
          <w:szCs w:val="21"/>
          <w:lang w:eastAsia="en-GB"/>
        </w:rPr>
        <w:t>4. It</w:t>
      </w:r>
      <w:r w:rsidR="00E16EEF">
        <w:rPr>
          <w:rFonts w:ascii="Helvetica" w:eastAsia="Times New Roman" w:hAnsi="Helvetica" w:cs="Helvetica"/>
          <w:color w:val="1E1E1F"/>
          <w:sz w:val="21"/>
          <w:szCs w:val="21"/>
          <w:lang w:eastAsia="en-GB"/>
        </w:rPr>
        <w:t xml:space="preserve"> approves international agreements and treaties concluded by the EU and that includes the UK’s withdrawal agreement from the EU </w:t>
      </w:r>
    </w:p>
    <w:p w14:paraId="144868E5" w14:textId="775586BC" w:rsidR="00E16EEF" w:rsidRPr="00D7004F" w:rsidRDefault="00E16EEF" w:rsidP="00D7004F">
      <w:pPr>
        <w:shd w:val="clear" w:color="auto" w:fill="FFFFFF"/>
        <w:spacing w:after="100" w:afterAutospacing="1" w:line="240" w:lineRule="auto"/>
        <w:rPr>
          <w:rFonts w:ascii="Helvetica" w:eastAsia="Times New Roman" w:hAnsi="Helvetica" w:cs="Helvetica"/>
          <w:color w:val="1E1E1F"/>
          <w:sz w:val="21"/>
          <w:szCs w:val="21"/>
          <w:lang w:eastAsia="en-GB"/>
        </w:rPr>
      </w:pPr>
      <w:r>
        <w:rPr>
          <w:rFonts w:ascii="Helvetica" w:eastAsia="Times New Roman" w:hAnsi="Helvetica" w:cs="Helvetica"/>
          <w:color w:val="1E1E1F"/>
          <w:sz w:val="21"/>
          <w:szCs w:val="21"/>
          <w:lang w:eastAsia="en-GB"/>
        </w:rPr>
        <w:t>5. It has a role in electing the president of the European commission</w:t>
      </w:r>
    </w:p>
    <w:p w14:paraId="3E0BBED7" w14:textId="79AAA19E" w:rsidR="000A2607" w:rsidRPr="002820DD" w:rsidRDefault="000A2607" w:rsidP="000A2607">
      <w:pPr>
        <w:shd w:val="clear" w:color="auto" w:fill="FFFFFF"/>
        <w:spacing w:before="120" w:after="120" w:line="240" w:lineRule="auto"/>
        <w:ind w:left="414"/>
        <w:rPr>
          <w:rFonts w:ascii="Arial" w:eastAsia="Times New Roman" w:hAnsi="Arial" w:cs="Arial"/>
          <w:color w:val="000000"/>
          <w:sz w:val="21"/>
          <w:szCs w:val="21"/>
          <w:lang w:eastAsia="en-GB"/>
        </w:rPr>
      </w:pPr>
    </w:p>
    <w:p w14:paraId="3148F8A3" w14:textId="77777777" w:rsidR="002820DD" w:rsidRPr="002820DD" w:rsidRDefault="002820DD" w:rsidP="002820DD">
      <w:pPr>
        <w:shd w:val="clear" w:color="auto" w:fill="FFFFFF"/>
        <w:spacing w:before="75" w:after="225" w:line="240" w:lineRule="auto"/>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(45 marks)</w:t>
      </w:r>
    </w:p>
    <w:p w14:paraId="57775BE8" w14:textId="77777777" w:rsidR="002820DD" w:rsidRPr="002820DD" w:rsidRDefault="002820DD" w:rsidP="002820DD">
      <w:pPr>
        <w:shd w:val="clear" w:color="auto" w:fill="FFFFFF"/>
        <w:spacing w:after="0" w:line="240" w:lineRule="auto"/>
        <w:outlineLvl w:val="1"/>
        <w:rPr>
          <w:rFonts w:ascii="Arial" w:eastAsia="Times New Roman" w:hAnsi="Arial" w:cs="Arial"/>
          <w:color w:val="002158"/>
          <w:sz w:val="27"/>
          <w:szCs w:val="27"/>
          <w:lang w:eastAsia="en-GB"/>
        </w:rPr>
      </w:pPr>
      <w:r w:rsidRPr="002820DD">
        <w:rPr>
          <w:rFonts w:ascii="Arial" w:eastAsia="Times New Roman" w:hAnsi="Arial" w:cs="Arial"/>
          <w:color w:val="002158"/>
          <w:sz w:val="27"/>
          <w:szCs w:val="27"/>
          <w:lang w:eastAsia="en-GB"/>
        </w:rPr>
        <w:t>Question 2</w:t>
      </w:r>
    </w:p>
    <w:p w14:paraId="190DB331" w14:textId="77777777" w:rsidR="002820DD" w:rsidRPr="002820DD" w:rsidRDefault="002820DD" w:rsidP="002820DD">
      <w:pPr>
        <w:shd w:val="clear" w:color="auto" w:fill="FFFFFF"/>
        <w:spacing w:before="75" w:after="225" w:line="240" w:lineRule="auto"/>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Decide whether the first-named person in each of parts (a), (b) and (c) has committed an offence under the Ivory Act 2018, using only the extracts from the Act provided in Box 1.</w:t>
      </w:r>
    </w:p>
    <w:p w14:paraId="3DA02575" w14:textId="2C31B074" w:rsidR="002820DD" w:rsidRPr="002820DD" w:rsidRDefault="00906BA3" w:rsidP="00906BA3">
      <w:pPr>
        <w:shd w:val="clear" w:color="auto" w:fill="FFFFFF"/>
        <w:spacing w:before="75" w:after="225" w:line="240" w:lineRule="auto"/>
        <w:ind w:left="640"/>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 xml:space="preserve">  </w:t>
      </w:r>
      <w:r w:rsidR="00613C5B">
        <w:rPr>
          <w:rFonts w:ascii="Arial" w:eastAsia="Times New Roman" w:hAnsi="Arial" w:cs="Arial"/>
          <w:color w:val="000000"/>
          <w:sz w:val="21"/>
          <w:szCs w:val="21"/>
          <w:lang w:eastAsia="en-GB"/>
        </w:rPr>
        <w:t xml:space="preserve">a) </w:t>
      </w:r>
      <w:r w:rsidR="00CA043F" w:rsidRPr="002820DD">
        <w:rPr>
          <w:rFonts w:ascii="Arial" w:eastAsia="Times New Roman" w:hAnsi="Arial" w:cs="Arial"/>
          <w:color w:val="000000"/>
          <w:sz w:val="21"/>
          <w:szCs w:val="21"/>
          <w:lang w:eastAsia="en-GB"/>
        </w:rPr>
        <w:t>Olivia</w:t>
      </w:r>
      <w:r w:rsidR="002820DD" w:rsidRPr="002820DD">
        <w:rPr>
          <w:rFonts w:ascii="Arial" w:eastAsia="Times New Roman" w:hAnsi="Arial" w:cs="Arial"/>
          <w:color w:val="000000"/>
          <w:sz w:val="21"/>
          <w:szCs w:val="21"/>
          <w:lang w:eastAsia="en-GB"/>
        </w:rPr>
        <w:t xml:space="preserve"> inherited an ivory replica of the Taj Mahal from her great-grandfather, who was in the British Raj (British Crown rule, which was imposed in India from 1858–1947). She knows that it is worth over £1,500 but, because she feels ashamed of its colonial connotations, she sells it to a local imam (a person who leads prayers in a mosque) for £500. She donates the money to a charity that supports refugees who have just arrived in the UK.</w:t>
      </w:r>
    </w:p>
    <w:p w14:paraId="1B591AAA" w14:textId="04A35139" w:rsidR="001306BA" w:rsidRDefault="002820DD" w:rsidP="001306BA">
      <w:pPr>
        <w:shd w:val="clear" w:color="auto" w:fill="FFFFFF"/>
        <w:spacing w:before="75" w:after="225" w:line="240" w:lineRule="auto"/>
        <w:ind w:left="1224"/>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(10 marks)</w:t>
      </w:r>
      <w:r w:rsidR="001547D5">
        <w:rPr>
          <w:rFonts w:ascii="Arial" w:eastAsia="Times New Roman" w:hAnsi="Arial" w:cs="Arial"/>
          <w:color w:val="000000"/>
          <w:sz w:val="21"/>
          <w:szCs w:val="21"/>
          <w:lang w:eastAsia="en-GB"/>
        </w:rPr>
        <w:t xml:space="preserve"> </w:t>
      </w:r>
      <w:r w:rsidR="00F30E50">
        <w:rPr>
          <w:rFonts w:ascii="Arial" w:eastAsia="Times New Roman" w:hAnsi="Arial" w:cs="Arial"/>
          <w:color w:val="000000"/>
          <w:sz w:val="21"/>
          <w:szCs w:val="21"/>
          <w:lang w:eastAsia="en-GB"/>
        </w:rPr>
        <w:t>Olivia has</w:t>
      </w:r>
      <w:r w:rsidR="001547D5">
        <w:rPr>
          <w:rFonts w:ascii="Arial" w:eastAsia="Times New Roman" w:hAnsi="Arial" w:cs="Arial"/>
          <w:color w:val="000000"/>
          <w:sz w:val="21"/>
          <w:szCs w:val="21"/>
          <w:lang w:eastAsia="en-GB"/>
        </w:rPr>
        <w:t xml:space="preserve"> not</w:t>
      </w:r>
      <w:r w:rsidR="00F30E50">
        <w:rPr>
          <w:rFonts w:ascii="Arial" w:eastAsia="Times New Roman" w:hAnsi="Arial" w:cs="Arial"/>
          <w:color w:val="000000"/>
          <w:sz w:val="21"/>
          <w:szCs w:val="21"/>
          <w:lang w:eastAsia="en-GB"/>
        </w:rPr>
        <w:t xml:space="preserve"> committed an o</w:t>
      </w:r>
      <w:r w:rsidR="001547D5">
        <w:rPr>
          <w:rFonts w:ascii="Arial" w:eastAsia="Times New Roman" w:hAnsi="Arial" w:cs="Arial"/>
          <w:color w:val="000000"/>
          <w:sz w:val="21"/>
          <w:szCs w:val="21"/>
          <w:lang w:eastAsia="en-GB"/>
        </w:rPr>
        <w:t>ffence under the Ivory Act 2018 because the item is dated 1858-1947 hence the item was acquired before 1947 which is exempted from prohibition (S7)(1)(a) although it a replica of ivory which is an offence in (S1)(5)(b) that is dealing with an item that has ivory in it and importing the item into th</w:t>
      </w:r>
      <w:r w:rsidR="008C33AD">
        <w:rPr>
          <w:rFonts w:ascii="Arial" w:eastAsia="Times New Roman" w:hAnsi="Arial" w:cs="Arial"/>
          <w:color w:val="000000"/>
          <w:sz w:val="21"/>
          <w:szCs w:val="21"/>
          <w:lang w:eastAsia="en-GB"/>
        </w:rPr>
        <w:t>e United Kingdom under (S1)(2)(e</w:t>
      </w:r>
      <w:r w:rsidR="001547D5">
        <w:rPr>
          <w:rFonts w:ascii="Arial" w:eastAsia="Times New Roman" w:hAnsi="Arial" w:cs="Arial"/>
          <w:color w:val="000000"/>
          <w:sz w:val="21"/>
          <w:szCs w:val="21"/>
          <w:lang w:eastAsia="en-GB"/>
        </w:rPr>
        <w:t>) and therefore selling to the imam (S1</w:t>
      </w:r>
      <w:r w:rsidR="008C33AD">
        <w:rPr>
          <w:rFonts w:ascii="Arial" w:eastAsia="Times New Roman" w:hAnsi="Arial" w:cs="Arial"/>
          <w:color w:val="000000"/>
          <w:sz w:val="21"/>
          <w:szCs w:val="21"/>
          <w:lang w:eastAsia="en-GB"/>
        </w:rPr>
        <w:t xml:space="preserve">)(2)(a) </w:t>
      </w:r>
    </w:p>
    <w:p w14:paraId="326435A1" w14:textId="5AE8F642" w:rsidR="002820DD" w:rsidRPr="002820DD" w:rsidRDefault="005124E2" w:rsidP="005124E2">
      <w:pPr>
        <w:shd w:val="clear" w:color="auto" w:fill="FFFFFF"/>
        <w:spacing w:before="75" w:after="225" w:line="240" w:lineRule="auto"/>
        <w:ind w:left="720"/>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 xml:space="preserve">b) </w:t>
      </w:r>
      <w:r w:rsidR="00AD60E4">
        <w:rPr>
          <w:rFonts w:ascii="Arial" w:eastAsia="Times New Roman" w:hAnsi="Arial" w:cs="Arial"/>
          <w:color w:val="000000"/>
          <w:sz w:val="21"/>
          <w:szCs w:val="21"/>
          <w:lang w:eastAsia="en-GB"/>
        </w:rPr>
        <w:t>Paul’s</w:t>
      </w:r>
      <w:r w:rsidR="002820DD" w:rsidRPr="002820DD">
        <w:rPr>
          <w:rFonts w:ascii="Arial" w:eastAsia="Times New Roman" w:hAnsi="Arial" w:cs="Arial"/>
          <w:color w:val="000000"/>
          <w:sz w:val="21"/>
          <w:szCs w:val="21"/>
          <w:lang w:eastAsia="en-GB"/>
        </w:rPr>
        <w:t xml:space="preserve"> great-aunt gave him, as an 18th birthday present, a portrait miniature of her grandfather, painted on ivory. The portrait miniature is dated 1898, and is registered under Section 10 of the Ivory Act 2018. The oval picture has a visible surface area of 300 cm</w:t>
      </w:r>
      <w:r w:rsidR="002820DD" w:rsidRPr="002820DD">
        <w:rPr>
          <w:rFonts w:ascii="Arial" w:eastAsia="Times New Roman" w:hAnsi="Arial" w:cs="Arial"/>
          <w:color w:val="000000"/>
          <w:sz w:val="16"/>
          <w:szCs w:val="16"/>
          <w:vertAlign w:val="superscript"/>
          <w:lang w:eastAsia="en-GB"/>
        </w:rPr>
        <w:t>2</w:t>
      </w:r>
      <w:r w:rsidR="002820DD" w:rsidRPr="002820DD">
        <w:rPr>
          <w:rFonts w:ascii="Arial" w:eastAsia="Times New Roman" w:hAnsi="Arial" w:cs="Arial"/>
          <w:color w:val="000000"/>
          <w:sz w:val="21"/>
          <w:szCs w:val="21"/>
          <w:lang w:eastAsia="en-GB"/>
        </w:rPr>
        <w:t>. It is surrounded by a metal frame, and the area of the whole object is 330 cm</w:t>
      </w:r>
      <w:r w:rsidR="002820DD" w:rsidRPr="002820DD">
        <w:rPr>
          <w:rFonts w:ascii="Arial" w:eastAsia="Times New Roman" w:hAnsi="Arial" w:cs="Arial"/>
          <w:color w:val="000000"/>
          <w:sz w:val="16"/>
          <w:szCs w:val="16"/>
          <w:vertAlign w:val="superscript"/>
          <w:lang w:eastAsia="en-GB"/>
        </w:rPr>
        <w:t>2</w:t>
      </w:r>
      <w:r w:rsidR="002820DD" w:rsidRPr="002820DD">
        <w:rPr>
          <w:rFonts w:ascii="Arial" w:eastAsia="Times New Roman" w:hAnsi="Arial" w:cs="Arial"/>
          <w:color w:val="000000"/>
          <w:sz w:val="21"/>
          <w:szCs w:val="21"/>
          <w:lang w:eastAsia="en-GB"/>
        </w:rPr>
        <w:t>. Paul sells the portrait miniature to a local antiques dealer for £250, and spends the money on cocaine.</w:t>
      </w:r>
    </w:p>
    <w:p w14:paraId="496A42E5" w14:textId="54A3416B" w:rsidR="002820DD" w:rsidRDefault="002820DD" w:rsidP="002820DD">
      <w:pPr>
        <w:shd w:val="clear" w:color="auto" w:fill="FFFFFF"/>
        <w:spacing w:before="75" w:after="225" w:line="240" w:lineRule="auto"/>
        <w:ind w:left="1224"/>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(15 marks)</w:t>
      </w:r>
    </w:p>
    <w:p w14:paraId="161187F5" w14:textId="01047F36" w:rsidR="00EB6B26" w:rsidRPr="002820DD" w:rsidRDefault="00EB6B26" w:rsidP="002820DD">
      <w:pPr>
        <w:shd w:val="clear" w:color="auto" w:fill="FFFFFF"/>
        <w:spacing w:before="75" w:after="225" w:line="240" w:lineRule="auto"/>
        <w:ind w:left="1224"/>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Paul has not committed any offence because the Ivory Act 2018 under (S7)(1)(a) exempts the item from prohibition if its pre-1947 and the item was dated 1898 , the item is registered under section 10 (S7)(1)(d) hence exempted from prohibition , (S6)(20) for the purpose of subsection (1)(a) the surface area of a portrait miniature does not include any part consisting of or covered by a frame , (S)(</w:t>
      </w:r>
      <w:r w:rsidR="00AA4882">
        <w:rPr>
          <w:rFonts w:ascii="Arial" w:eastAsia="Times New Roman" w:hAnsi="Arial" w:cs="Arial"/>
          <w:color w:val="000000"/>
          <w:sz w:val="21"/>
          <w:szCs w:val="21"/>
          <w:lang w:eastAsia="en-GB"/>
        </w:rPr>
        <w:t xml:space="preserve">1)(a) if the item is a pre-1918 portrait miniature with a surface of no more than 320 cm is exempted from prohibition since paul gift had a surface area of 300cm </w:t>
      </w:r>
    </w:p>
    <w:p w14:paraId="0C952A21" w14:textId="6BB65D1B" w:rsidR="002820DD" w:rsidRPr="002820DD" w:rsidRDefault="00613C5B" w:rsidP="005124E2">
      <w:pPr>
        <w:shd w:val="clear" w:color="auto" w:fill="FFFFFF"/>
        <w:spacing w:before="75" w:after="225" w:line="240" w:lineRule="auto"/>
        <w:ind w:left="720"/>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C</w:t>
      </w:r>
      <w:r w:rsidR="005124E2">
        <w:rPr>
          <w:rFonts w:ascii="Arial" w:eastAsia="Times New Roman" w:hAnsi="Arial" w:cs="Arial"/>
          <w:color w:val="000000"/>
          <w:sz w:val="21"/>
          <w:szCs w:val="21"/>
          <w:lang w:eastAsia="en-GB"/>
        </w:rPr>
        <w:t>)</w:t>
      </w:r>
      <w:bookmarkStart w:id="2" w:name="_GoBack"/>
      <w:bookmarkEnd w:id="2"/>
      <w:r>
        <w:rPr>
          <w:rFonts w:ascii="Arial" w:eastAsia="Times New Roman" w:hAnsi="Arial" w:cs="Arial"/>
          <w:color w:val="000000"/>
          <w:sz w:val="21"/>
          <w:szCs w:val="21"/>
          <w:lang w:eastAsia="en-GB"/>
        </w:rPr>
        <w:t xml:space="preserve"> </w:t>
      </w:r>
      <w:r w:rsidR="00AD60E4" w:rsidRPr="002820DD">
        <w:rPr>
          <w:rFonts w:ascii="Arial" w:eastAsia="Times New Roman" w:hAnsi="Arial" w:cs="Arial"/>
          <w:color w:val="000000"/>
          <w:sz w:val="21"/>
          <w:szCs w:val="21"/>
          <w:lang w:eastAsia="en-GB"/>
        </w:rPr>
        <w:t>Anand</w:t>
      </w:r>
      <w:r w:rsidR="002820DD" w:rsidRPr="002820DD">
        <w:rPr>
          <w:rFonts w:ascii="Arial" w:eastAsia="Times New Roman" w:hAnsi="Arial" w:cs="Arial"/>
          <w:color w:val="000000"/>
          <w:sz w:val="21"/>
          <w:szCs w:val="21"/>
          <w:lang w:eastAsia="en-GB"/>
        </w:rPr>
        <w:t xml:space="preserve"> is looking for a very special present to give to his girlfriend to celebrate </w:t>
      </w:r>
      <w:r w:rsidR="00906BA3" w:rsidRPr="002820DD">
        <w:rPr>
          <w:rFonts w:ascii="Arial" w:eastAsia="Times New Roman" w:hAnsi="Arial" w:cs="Arial"/>
          <w:color w:val="000000"/>
          <w:sz w:val="21"/>
          <w:szCs w:val="21"/>
          <w:lang w:eastAsia="en-GB"/>
        </w:rPr>
        <w:t xml:space="preserve">the </w:t>
      </w:r>
      <w:r w:rsidR="00906BA3">
        <w:rPr>
          <w:rFonts w:ascii="Arial" w:eastAsia="Times New Roman" w:hAnsi="Arial" w:cs="Arial"/>
          <w:color w:val="000000"/>
          <w:sz w:val="21"/>
          <w:szCs w:val="21"/>
          <w:lang w:eastAsia="en-GB"/>
        </w:rPr>
        <w:t>birth</w:t>
      </w:r>
      <w:r>
        <w:rPr>
          <w:rFonts w:ascii="Arial" w:eastAsia="Times New Roman" w:hAnsi="Arial" w:cs="Arial"/>
          <w:color w:val="000000"/>
          <w:sz w:val="21"/>
          <w:szCs w:val="21"/>
          <w:lang w:eastAsia="en-GB"/>
        </w:rPr>
        <w:t xml:space="preserve"> of </w:t>
      </w:r>
      <w:r w:rsidR="002820DD" w:rsidRPr="002820DD">
        <w:rPr>
          <w:rFonts w:ascii="Arial" w:eastAsia="Times New Roman" w:hAnsi="Arial" w:cs="Arial"/>
          <w:color w:val="000000"/>
          <w:sz w:val="21"/>
          <w:szCs w:val="21"/>
          <w:lang w:eastAsia="en-GB"/>
        </w:rPr>
        <w:t>their first baby. He sends an email offering £1,200 to buy a 1930s necklace that he sees advertised on the internet. The necklace is registered under Section 10 of the Ivory Act 2018. The necklace is a string of pearls with an ivory clasp that comprises 7% of the total volume of the necklace.</w:t>
      </w:r>
    </w:p>
    <w:p w14:paraId="517DECC8" w14:textId="37DE0F5E" w:rsidR="002820DD" w:rsidRDefault="002820DD" w:rsidP="002820DD">
      <w:pPr>
        <w:shd w:val="clear" w:color="auto" w:fill="FFFFFF"/>
        <w:spacing w:before="75" w:after="225" w:line="240" w:lineRule="auto"/>
        <w:ind w:left="1224"/>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(20 marks)</w:t>
      </w:r>
      <w:r w:rsidR="00AA4882">
        <w:rPr>
          <w:rFonts w:ascii="Arial" w:eastAsia="Times New Roman" w:hAnsi="Arial" w:cs="Arial"/>
          <w:color w:val="000000"/>
          <w:sz w:val="21"/>
          <w:szCs w:val="21"/>
          <w:lang w:eastAsia="en-GB"/>
        </w:rPr>
        <w:t xml:space="preserve"> </w:t>
      </w:r>
    </w:p>
    <w:p w14:paraId="5D0054D4" w14:textId="58BD716C" w:rsidR="003302F9" w:rsidRPr="002820DD" w:rsidRDefault="003302F9" w:rsidP="002820DD">
      <w:pPr>
        <w:shd w:val="clear" w:color="auto" w:fill="FFFFFF"/>
        <w:spacing w:before="75" w:after="225" w:line="240" w:lineRule="auto"/>
        <w:ind w:left="1224"/>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Anad has committed an offence in the Ivory Act 2018 (S1)(2)(b) by offering or arranging to buy a gift to her girlfriend and dealing wi</w:t>
      </w:r>
      <w:r w:rsidR="008E050A">
        <w:rPr>
          <w:rFonts w:ascii="Arial" w:eastAsia="Times New Roman" w:hAnsi="Arial" w:cs="Arial"/>
          <w:color w:val="000000"/>
          <w:sz w:val="21"/>
          <w:szCs w:val="21"/>
          <w:lang w:eastAsia="en-GB"/>
        </w:rPr>
        <w:t>th item that has ivory in it (S1)(5)(b</w:t>
      </w:r>
      <w:r>
        <w:rPr>
          <w:rFonts w:ascii="Arial" w:eastAsia="Times New Roman" w:hAnsi="Arial" w:cs="Arial"/>
          <w:color w:val="000000"/>
          <w:sz w:val="21"/>
          <w:szCs w:val="21"/>
          <w:lang w:eastAsia="en-GB"/>
        </w:rPr>
        <w:t xml:space="preserve">) and the item is dated 1930 thus </w:t>
      </w:r>
      <w:r w:rsidR="00AD60E4">
        <w:rPr>
          <w:rFonts w:ascii="Arial" w:eastAsia="Times New Roman" w:hAnsi="Arial" w:cs="Arial"/>
          <w:color w:val="000000"/>
          <w:sz w:val="21"/>
          <w:szCs w:val="21"/>
          <w:lang w:eastAsia="en-GB"/>
        </w:rPr>
        <w:t>it’s</w:t>
      </w:r>
      <w:r>
        <w:rPr>
          <w:rFonts w:ascii="Arial" w:eastAsia="Times New Roman" w:hAnsi="Arial" w:cs="Arial"/>
          <w:color w:val="000000"/>
          <w:sz w:val="21"/>
          <w:szCs w:val="21"/>
          <w:lang w:eastAsia="en-GB"/>
        </w:rPr>
        <w:t xml:space="preserve"> not exempted from prohibition </w:t>
      </w:r>
      <w:r w:rsidR="008E050A">
        <w:rPr>
          <w:rFonts w:ascii="Arial" w:eastAsia="Times New Roman" w:hAnsi="Arial" w:cs="Arial"/>
          <w:color w:val="000000"/>
          <w:sz w:val="21"/>
          <w:szCs w:val="21"/>
          <w:lang w:eastAsia="en-GB"/>
        </w:rPr>
        <w:t>the item is exempted if it’s a pre-1947 (S7)(1)(a) although the item he intended to buy is registered under section (S7)(1)(d) and the volume of ivory in the item is less than 10% of the total volume of the material of which the item is made (S7)(1)(C)</w:t>
      </w:r>
    </w:p>
    <w:p w14:paraId="66F1A8B8" w14:textId="77777777" w:rsidR="002820DD" w:rsidRPr="002820DD" w:rsidRDefault="002820DD" w:rsidP="002820DD">
      <w:pPr>
        <w:shd w:val="clear" w:color="auto" w:fill="DDEFF8"/>
        <w:spacing w:after="0" w:line="240" w:lineRule="auto"/>
        <w:outlineLvl w:val="2"/>
        <w:rPr>
          <w:rFonts w:ascii="Arial" w:eastAsia="Times New Roman" w:hAnsi="Arial" w:cs="Arial"/>
          <w:b/>
          <w:bCs/>
          <w:color w:val="002158"/>
          <w:sz w:val="24"/>
          <w:szCs w:val="24"/>
          <w:lang w:eastAsia="en-GB"/>
        </w:rPr>
      </w:pPr>
      <w:r w:rsidRPr="002820DD">
        <w:rPr>
          <w:rFonts w:ascii="Arial" w:eastAsia="Times New Roman" w:hAnsi="Arial" w:cs="Arial"/>
          <w:b/>
          <w:bCs/>
          <w:color w:val="002158"/>
          <w:sz w:val="24"/>
          <w:szCs w:val="24"/>
          <w:lang w:eastAsia="en-GB"/>
        </w:rPr>
        <w:t>Extracts from the Ivory Act 2018</w:t>
      </w:r>
    </w:p>
    <w:p w14:paraId="5FE2828B" w14:textId="77777777" w:rsidR="002820DD" w:rsidRPr="002820DD" w:rsidRDefault="002820DD" w:rsidP="002820DD">
      <w:pPr>
        <w:shd w:val="clear" w:color="auto" w:fill="F1F8FC"/>
        <w:spacing w:before="75" w:after="225" w:line="240" w:lineRule="auto"/>
        <w:rPr>
          <w:rFonts w:ascii="Arial" w:eastAsia="Times New Roman" w:hAnsi="Arial" w:cs="Arial"/>
          <w:color w:val="000000"/>
          <w:sz w:val="21"/>
          <w:szCs w:val="21"/>
          <w:lang w:eastAsia="en-GB"/>
        </w:rPr>
      </w:pPr>
      <w:r w:rsidRPr="002820DD">
        <w:rPr>
          <w:rFonts w:ascii="Arial" w:eastAsia="Times New Roman" w:hAnsi="Arial" w:cs="Arial"/>
          <w:i/>
          <w:iCs/>
          <w:color w:val="000000"/>
          <w:sz w:val="21"/>
          <w:szCs w:val="21"/>
          <w:lang w:eastAsia="en-GB"/>
        </w:rPr>
        <w:t>Note: An ellipsis (…) has been used to indicate places where words from the Act have been omitted. You should not attempt to research these missing words.</w:t>
      </w:r>
    </w:p>
    <w:p w14:paraId="0FB6F753" w14:textId="77777777" w:rsidR="002820DD" w:rsidRPr="002820DD" w:rsidRDefault="002820DD" w:rsidP="002820DD">
      <w:pPr>
        <w:shd w:val="clear" w:color="auto" w:fill="F1F8FC"/>
        <w:spacing w:before="75" w:after="225" w:line="240" w:lineRule="auto"/>
        <w:rPr>
          <w:rFonts w:ascii="Arial" w:eastAsia="Times New Roman" w:hAnsi="Arial" w:cs="Arial"/>
          <w:color w:val="000000"/>
          <w:sz w:val="21"/>
          <w:szCs w:val="21"/>
          <w:lang w:eastAsia="en-GB"/>
        </w:rPr>
      </w:pPr>
      <w:r w:rsidRPr="002820DD">
        <w:rPr>
          <w:rFonts w:ascii="Arial" w:eastAsia="Times New Roman" w:hAnsi="Arial" w:cs="Arial"/>
          <w:b/>
          <w:bCs/>
          <w:color w:val="000000"/>
          <w:sz w:val="21"/>
          <w:szCs w:val="21"/>
          <w:lang w:eastAsia="en-GB"/>
        </w:rPr>
        <w:t>1 Prohibition on dealing in ivory</w:t>
      </w:r>
    </w:p>
    <w:p w14:paraId="793AE30C" w14:textId="77777777" w:rsidR="002820DD" w:rsidRPr="002820DD" w:rsidRDefault="002820DD" w:rsidP="002820DD">
      <w:pPr>
        <w:shd w:val="clear" w:color="auto" w:fill="F1F8FC"/>
        <w:spacing w:before="75" w:after="225" w:line="240" w:lineRule="auto"/>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(1) Dealing in ivory is prohibited.</w:t>
      </w:r>
    </w:p>
    <w:p w14:paraId="63253087" w14:textId="77777777" w:rsidR="002820DD" w:rsidRPr="002820DD" w:rsidRDefault="002820DD" w:rsidP="002820DD">
      <w:pPr>
        <w:shd w:val="clear" w:color="auto" w:fill="F1F8FC"/>
        <w:spacing w:before="75" w:after="225" w:line="240" w:lineRule="auto"/>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(2) “Dealing” in ivory means—</w:t>
      </w:r>
    </w:p>
    <w:p w14:paraId="24C39DE9" w14:textId="77777777" w:rsidR="002820DD" w:rsidRPr="002820DD" w:rsidRDefault="002820DD" w:rsidP="002820DD">
      <w:pPr>
        <w:numPr>
          <w:ilvl w:val="0"/>
          <w:numId w:val="3"/>
        </w:numPr>
        <w:shd w:val="clear" w:color="auto" w:fill="F1F8FC"/>
        <w:spacing w:before="120" w:after="120"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a.buying, selling or hiring it;</w:t>
      </w:r>
    </w:p>
    <w:p w14:paraId="7F8DB893" w14:textId="77777777" w:rsidR="002820DD" w:rsidRPr="002820DD" w:rsidRDefault="002820DD" w:rsidP="002820DD">
      <w:pPr>
        <w:numPr>
          <w:ilvl w:val="0"/>
          <w:numId w:val="3"/>
        </w:numPr>
        <w:shd w:val="clear" w:color="auto" w:fill="F1F8FC"/>
        <w:spacing w:before="120" w:after="120"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b.offering or arranging to buy, sell or hire it;</w:t>
      </w:r>
    </w:p>
    <w:p w14:paraId="7AEEE3CC" w14:textId="77777777" w:rsidR="002820DD" w:rsidRPr="002820DD" w:rsidRDefault="002820DD" w:rsidP="002820DD">
      <w:pPr>
        <w:numPr>
          <w:ilvl w:val="0"/>
          <w:numId w:val="3"/>
        </w:numPr>
        <w:shd w:val="clear" w:color="auto" w:fill="F1F8FC"/>
        <w:spacing w:before="120" w:after="120"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c.keeping it for sale or hire;</w:t>
      </w:r>
    </w:p>
    <w:p w14:paraId="39A607D0" w14:textId="77777777" w:rsidR="002820DD" w:rsidRPr="002820DD" w:rsidRDefault="002820DD" w:rsidP="002820DD">
      <w:pPr>
        <w:numPr>
          <w:ilvl w:val="0"/>
          <w:numId w:val="3"/>
        </w:numPr>
        <w:shd w:val="clear" w:color="auto" w:fill="F1F8FC"/>
        <w:spacing w:before="120" w:after="120"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d.exporting it from the United Kingdom for sale or hire;</w:t>
      </w:r>
    </w:p>
    <w:p w14:paraId="31869666" w14:textId="77777777" w:rsidR="002820DD" w:rsidRPr="002820DD" w:rsidRDefault="002820DD" w:rsidP="002820DD">
      <w:pPr>
        <w:numPr>
          <w:ilvl w:val="0"/>
          <w:numId w:val="3"/>
        </w:numPr>
        <w:shd w:val="clear" w:color="auto" w:fill="F1F8FC"/>
        <w:spacing w:before="120" w:after="120"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e.importing it into the United Kingdom for sale or hire.</w:t>
      </w:r>
    </w:p>
    <w:p w14:paraId="134486BF" w14:textId="77777777" w:rsidR="002820DD" w:rsidRPr="002820DD" w:rsidRDefault="002820DD" w:rsidP="002820DD">
      <w:pPr>
        <w:shd w:val="clear" w:color="auto" w:fill="F1F8FC"/>
        <w:spacing w:before="75" w:after="225" w:line="240" w:lineRule="auto"/>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w:t>
      </w:r>
    </w:p>
    <w:p w14:paraId="46F20FFF" w14:textId="77777777" w:rsidR="002820DD" w:rsidRPr="002820DD" w:rsidRDefault="002820DD" w:rsidP="002820DD">
      <w:pPr>
        <w:shd w:val="clear" w:color="auto" w:fill="F1F8FC"/>
        <w:spacing w:before="75" w:after="225" w:line="240" w:lineRule="auto"/>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(5) In this section “ivory” includes—</w:t>
      </w:r>
    </w:p>
    <w:p w14:paraId="4F5C95D5" w14:textId="77777777" w:rsidR="002820DD" w:rsidRPr="002820DD" w:rsidRDefault="002820DD" w:rsidP="002820DD">
      <w:pPr>
        <w:numPr>
          <w:ilvl w:val="0"/>
          <w:numId w:val="4"/>
        </w:numPr>
        <w:shd w:val="clear" w:color="auto" w:fill="F1F8FC"/>
        <w:spacing w:before="120" w:after="120"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a.an item made of ivory;</w:t>
      </w:r>
    </w:p>
    <w:p w14:paraId="2DECF14F" w14:textId="77777777" w:rsidR="002820DD" w:rsidRPr="002820DD" w:rsidRDefault="002820DD" w:rsidP="002820DD">
      <w:pPr>
        <w:numPr>
          <w:ilvl w:val="0"/>
          <w:numId w:val="4"/>
        </w:numPr>
        <w:shd w:val="clear" w:color="auto" w:fill="F1F8FC"/>
        <w:spacing w:before="120" w:after="120"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b.an item that has ivory in it.</w:t>
      </w:r>
    </w:p>
    <w:p w14:paraId="75F230DF" w14:textId="77777777" w:rsidR="002820DD" w:rsidRPr="002820DD" w:rsidRDefault="002820DD" w:rsidP="002820DD">
      <w:pPr>
        <w:shd w:val="clear" w:color="auto" w:fill="F1F8FC"/>
        <w:spacing w:before="75" w:after="225" w:line="240" w:lineRule="auto"/>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w:t>
      </w:r>
    </w:p>
    <w:p w14:paraId="6749DEA9" w14:textId="77777777" w:rsidR="002820DD" w:rsidRPr="002820DD" w:rsidRDefault="002820DD" w:rsidP="002820DD">
      <w:pPr>
        <w:shd w:val="clear" w:color="auto" w:fill="F1F8FC"/>
        <w:spacing w:before="75" w:after="225" w:line="240" w:lineRule="auto"/>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(6) Sections 2 and 6 to 9 set out exceptions to the prohibition.</w:t>
      </w:r>
    </w:p>
    <w:p w14:paraId="17EFD8C8" w14:textId="77777777" w:rsidR="002820DD" w:rsidRPr="002820DD" w:rsidRDefault="002820DD" w:rsidP="002820DD">
      <w:pPr>
        <w:shd w:val="clear" w:color="auto" w:fill="F1F8FC"/>
        <w:spacing w:before="75" w:after="225" w:line="240" w:lineRule="auto"/>
        <w:rPr>
          <w:rFonts w:ascii="Arial" w:eastAsia="Times New Roman" w:hAnsi="Arial" w:cs="Arial"/>
          <w:color w:val="000000"/>
          <w:sz w:val="21"/>
          <w:szCs w:val="21"/>
          <w:lang w:eastAsia="en-GB"/>
        </w:rPr>
      </w:pPr>
      <w:r w:rsidRPr="002820DD">
        <w:rPr>
          <w:rFonts w:ascii="Arial" w:eastAsia="Times New Roman" w:hAnsi="Arial" w:cs="Arial"/>
          <w:b/>
          <w:bCs/>
          <w:color w:val="000000"/>
          <w:sz w:val="21"/>
          <w:szCs w:val="21"/>
          <w:lang w:eastAsia="en-GB"/>
        </w:rPr>
        <w:t>6 Pre-1918 portrait miniatures</w:t>
      </w:r>
    </w:p>
    <w:p w14:paraId="675C2CE6" w14:textId="77777777" w:rsidR="002820DD" w:rsidRPr="002820DD" w:rsidRDefault="002820DD" w:rsidP="002820DD">
      <w:pPr>
        <w:shd w:val="clear" w:color="auto" w:fill="F1F8FC"/>
        <w:spacing w:before="75" w:after="225" w:line="240" w:lineRule="auto"/>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(1) An item that has ivory in it is exempt from the prohibition if—</w:t>
      </w:r>
    </w:p>
    <w:p w14:paraId="56334EE4" w14:textId="77777777" w:rsidR="002820DD" w:rsidRPr="002820DD" w:rsidRDefault="002820DD" w:rsidP="002820DD">
      <w:pPr>
        <w:numPr>
          <w:ilvl w:val="0"/>
          <w:numId w:val="5"/>
        </w:numPr>
        <w:shd w:val="clear" w:color="auto" w:fill="F1F8FC"/>
        <w:spacing w:before="120" w:after="120"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a.the item is a pre-1918 portrait miniature with a surface area of no more than 320 cm</w:t>
      </w:r>
      <w:r w:rsidRPr="002820DD">
        <w:rPr>
          <w:rFonts w:ascii="Arial" w:eastAsia="Times New Roman" w:hAnsi="Arial" w:cs="Arial"/>
          <w:color w:val="000000"/>
          <w:sz w:val="16"/>
          <w:szCs w:val="16"/>
          <w:vertAlign w:val="superscript"/>
          <w:lang w:eastAsia="en-GB"/>
        </w:rPr>
        <w:t>2</w:t>
      </w:r>
      <w:r w:rsidRPr="002820DD">
        <w:rPr>
          <w:rFonts w:ascii="Arial" w:eastAsia="Times New Roman" w:hAnsi="Arial" w:cs="Arial"/>
          <w:color w:val="000000"/>
          <w:sz w:val="21"/>
          <w:szCs w:val="21"/>
          <w:lang w:eastAsia="en-GB"/>
        </w:rPr>
        <w:t>, and</w:t>
      </w:r>
    </w:p>
    <w:p w14:paraId="09666AC8" w14:textId="77777777" w:rsidR="002820DD" w:rsidRPr="002820DD" w:rsidRDefault="002820DD" w:rsidP="002820DD">
      <w:pPr>
        <w:numPr>
          <w:ilvl w:val="0"/>
          <w:numId w:val="5"/>
        </w:numPr>
        <w:shd w:val="clear" w:color="auto" w:fill="F1F8FC"/>
        <w:spacing w:before="120" w:after="120"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b.it is registered under section 10.</w:t>
      </w:r>
    </w:p>
    <w:p w14:paraId="391B27FD" w14:textId="77777777" w:rsidR="002820DD" w:rsidRPr="002820DD" w:rsidRDefault="002820DD" w:rsidP="002820DD">
      <w:pPr>
        <w:shd w:val="clear" w:color="auto" w:fill="F1F8FC"/>
        <w:spacing w:before="75" w:after="225" w:line="240" w:lineRule="auto"/>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(2) For the purposes of subsection (1)(a) the “surface area” of a portrait miniature does not include any part consisting of or covered by a frame.</w:t>
      </w:r>
    </w:p>
    <w:p w14:paraId="61D9EAA0" w14:textId="77777777" w:rsidR="002820DD" w:rsidRPr="002820DD" w:rsidRDefault="002820DD" w:rsidP="002820DD">
      <w:pPr>
        <w:shd w:val="clear" w:color="auto" w:fill="F1F8FC"/>
        <w:spacing w:before="75" w:after="225" w:line="240" w:lineRule="auto"/>
        <w:rPr>
          <w:rFonts w:ascii="Arial" w:eastAsia="Times New Roman" w:hAnsi="Arial" w:cs="Arial"/>
          <w:color w:val="000000"/>
          <w:sz w:val="21"/>
          <w:szCs w:val="21"/>
          <w:lang w:eastAsia="en-GB"/>
        </w:rPr>
      </w:pPr>
      <w:r w:rsidRPr="002820DD">
        <w:rPr>
          <w:rFonts w:ascii="Arial" w:eastAsia="Times New Roman" w:hAnsi="Arial" w:cs="Arial"/>
          <w:b/>
          <w:bCs/>
          <w:color w:val="000000"/>
          <w:sz w:val="21"/>
          <w:szCs w:val="21"/>
          <w:lang w:eastAsia="en-GB"/>
        </w:rPr>
        <w:t>7 Pre-1947 items with low ivory content</w:t>
      </w:r>
    </w:p>
    <w:p w14:paraId="000AF48A" w14:textId="77777777" w:rsidR="002820DD" w:rsidRPr="002820DD" w:rsidRDefault="002820DD" w:rsidP="002820DD">
      <w:pPr>
        <w:shd w:val="clear" w:color="auto" w:fill="F1F8FC"/>
        <w:spacing w:before="75" w:after="225" w:line="240" w:lineRule="auto"/>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(1) An item that has ivory in it is exempt from the prohibition if—</w:t>
      </w:r>
    </w:p>
    <w:p w14:paraId="3F5401A3" w14:textId="77777777" w:rsidR="002820DD" w:rsidRPr="002820DD" w:rsidRDefault="002820DD" w:rsidP="002820DD">
      <w:pPr>
        <w:numPr>
          <w:ilvl w:val="0"/>
          <w:numId w:val="6"/>
        </w:numPr>
        <w:shd w:val="clear" w:color="auto" w:fill="F1F8FC"/>
        <w:spacing w:before="120" w:after="120"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a.the item is pre-1947,</w:t>
      </w:r>
    </w:p>
    <w:p w14:paraId="14CFAA34" w14:textId="77777777" w:rsidR="002820DD" w:rsidRPr="002820DD" w:rsidRDefault="002820DD" w:rsidP="002820DD">
      <w:pPr>
        <w:numPr>
          <w:ilvl w:val="0"/>
          <w:numId w:val="6"/>
        </w:numPr>
        <w:shd w:val="clear" w:color="auto" w:fill="F1F8FC"/>
        <w:spacing w:before="120" w:after="120"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b.all the ivory in the item is integral to it,</w:t>
      </w:r>
    </w:p>
    <w:p w14:paraId="7DC141C9" w14:textId="77777777" w:rsidR="002820DD" w:rsidRPr="002820DD" w:rsidRDefault="002820DD" w:rsidP="002820DD">
      <w:pPr>
        <w:numPr>
          <w:ilvl w:val="0"/>
          <w:numId w:val="6"/>
        </w:numPr>
        <w:shd w:val="clear" w:color="auto" w:fill="F1F8FC"/>
        <w:spacing w:before="120" w:after="120"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c.the volume of ivory in the item is less than 10% of the total volume of the material of which the item is made, and</w:t>
      </w:r>
    </w:p>
    <w:p w14:paraId="7A05C55C" w14:textId="77777777" w:rsidR="002820DD" w:rsidRPr="002820DD" w:rsidRDefault="002820DD" w:rsidP="002820DD">
      <w:pPr>
        <w:numPr>
          <w:ilvl w:val="0"/>
          <w:numId w:val="6"/>
        </w:numPr>
        <w:shd w:val="clear" w:color="auto" w:fill="F1F8FC"/>
        <w:spacing w:before="120" w:after="120"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d.the item is registered under section 10.</w:t>
      </w:r>
    </w:p>
    <w:p w14:paraId="4A7158AD" w14:textId="77777777" w:rsidR="002820DD" w:rsidRPr="002820DD" w:rsidRDefault="002820DD" w:rsidP="002820DD">
      <w:pPr>
        <w:shd w:val="clear" w:color="auto" w:fill="F1F8FC"/>
        <w:spacing w:before="75" w:line="240" w:lineRule="auto"/>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(2) For the purposes of subsection (1)(b) ivory is “integral” to an item if it could not be removed from the item without difficulty or without damaging the item.</w:t>
      </w:r>
    </w:p>
    <w:p w14:paraId="7963C13B" w14:textId="77777777" w:rsidR="002820DD" w:rsidRPr="002820DD" w:rsidRDefault="002820DD" w:rsidP="002820DD">
      <w:pPr>
        <w:shd w:val="clear" w:color="auto" w:fill="FFFFFF"/>
        <w:spacing w:after="0" w:line="240" w:lineRule="auto"/>
        <w:outlineLvl w:val="1"/>
        <w:rPr>
          <w:rFonts w:ascii="Arial" w:eastAsia="Times New Roman" w:hAnsi="Arial" w:cs="Arial"/>
          <w:color w:val="002158"/>
          <w:sz w:val="27"/>
          <w:szCs w:val="27"/>
          <w:lang w:eastAsia="en-GB"/>
        </w:rPr>
      </w:pPr>
      <w:r w:rsidRPr="002820DD">
        <w:rPr>
          <w:rFonts w:ascii="Arial" w:eastAsia="Times New Roman" w:hAnsi="Arial" w:cs="Arial"/>
          <w:color w:val="002158"/>
          <w:sz w:val="27"/>
          <w:szCs w:val="27"/>
          <w:lang w:eastAsia="en-GB"/>
        </w:rPr>
        <w:t>Question 3</w:t>
      </w:r>
    </w:p>
    <w:p w14:paraId="02F8F337" w14:textId="564552BE" w:rsidR="002820DD" w:rsidRPr="007671EA" w:rsidRDefault="002820DD" w:rsidP="007671EA">
      <w:pPr>
        <w:pStyle w:val="ListParagraph"/>
        <w:numPr>
          <w:ilvl w:val="0"/>
          <w:numId w:val="7"/>
        </w:numPr>
        <w:shd w:val="clear" w:color="auto" w:fill="FFFFFF"/>
        <w:spacing w:before="75" w:after="225" w:line="240" w:lineRule="auto"/>
        <w:rPr>
          <w:rFonts w:ascii="Arial" w:eastAsia="Times New Roman" w:hAnsi="Arial" w:cs="Arial"/>
          <w:color w:val="000000"/>
          <w:sz w:val="21"/>
          <w:szCs w:val="21"/>
          <w:lang w:eastAsia="en-GB"/>
        </w:rPr>
      </w:pPr>
      <w:r w:rsidRPr="007671EA">
        <w:rPr>
          <w:rFonts w:ascii="Arial" w:eastAsia="Times New Roman" w:hAnsi="Arial" w:cs="Arial"/>
          <w:color w:val="000000"/>
          <w:sz w:val="21"/>
          <w:szCs w:val="21"/>
          <w:lang w:eastAsia="en-GB"/>
        </w:rPr>
        <w:t>Indicate the order in which you should have gone through these steps to answer Question 1:</w:t>
      </w:r>
    </w:p>
    <w:p w14:paraId="23974559" w14:textId="77777777" w:rsidR="002820DD" w:rsidRPr="002820DD" w:rsidRDefault="002820DD" w:rsidP="002820DD">
      <w:pPr>
        <w:numPr>
          <w:ilvl w:val="1"/>
          <w:numId w:val="7"/>
        </w:numPr>
        <w:shd w:val="clear" w:color="auto" w:fill="FFFFFF"/>
        <w:spacing w:before="120" w:after="120" w:line="240" w:lineRule="auto"/>
        <w:ind w:left="2448"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i.make notes</w:t>
      </w:r>
    </w:p>
    <w:p w14:paraId="7D4C1BEE" w14:textId="77777777" w:rsidR="002820DD" w:rsidRPr="002820DD" w:rsidRDefault="002820DD" w:rsidP="002820DD">
      <w:pPr>
        <w:numPr>
          <w:ilvl w:val="1"/>
          <w:numId w:val="7"/>
        </w:numPr>
        <w:shd w:val="clear" w:color="auto" w:fill="FFFFFF"/>
        <w:spacing w:before="120" w:after="120" w:line="240" w:lineRule="auto"/>
        <w:ind w:left="2448"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ii.plan your answer</w:t>
      </w:r>
    </w:p>
    <w:p w14:paraId="6BD87DEF" w14:textId="77777777" w:rsidR="002820DD" w:rsidRPr="002820DD" w:rsidRDefault="002820DD" w:rsidP="002820DD">
      <w:pPr>
        <w:numPr>
          <w:ilvl w:val="1"/>
          <w:numId w:val="7"/>
        </w:numPr>
        <w:shd w:val="clear" w:color="auto" w:fill="FFFFFF"/>
        <w:spacing w:before="120" w:after="120" w:line="240" w:lineRule="auto"/>
        <w:ind w:left="2448"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iii.read the question and associated advice</w:t>
      </w:r>
    </w:p>
    <w:p w14:paraId="6B64190E" w14:textId="77777777" w:rsidR="002820DD" w:rsidRPr="002820DD" w:rsidRDefault="002820DD" w:rsidP="002820DD">
      <w:pPr>
        <w:numPr>
          <w:ilvl w:val="1"/>
          <w:numId w:val="7"/>
        </w:numPr>
        <w:shd w:val="clear" w:color="auto" w:fill="FFFFFF"/>
        <w:spacing w:before="120" w:after="120" w:line="240" w:lineRule="auto"/>
        <w:ind w:left="2448"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iv.write your answer</w:t>
      </w:r>
    </w:p>
    <w:p w14:paraId="7A222931" w14:textId="77777777" w:rsidR="002820DD" w:rsidRPr="002820DD" w:rsidRDefault="002820DD" w:rsidP="002820DD">
      <w:pPr>
        <w:numPr>
          <w:ilvl w:val="1"/>
          <w:numId w:val="7"/>
        </w:numPr>
        <w:shd w:val="clear" w:color="auto" w:fill="FFFFFF"/>
        <w:spacing w:before="120" w:after="120" w:line="240" w:lineRule="auto"/>
        <w:ind w:left="2448"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v.retrieve the information.</w:t>
      </w:r>
    </w:p>
    <w:p w14:paraId="0B93276D" w14:textId="75BAF19D" w:rsidR="002820DD" w:rsidRPr="002820DD" w:rsidRDefault="002820DD" w:rsidP="002820DD">
      <w:pPr>
        <w:shd w:val="clear" w:color="auto" w:fill="FFFFFF"/>
        <w:spacing w:before="75" w:after="225" w:line="240" w:lineRule="auto"/>
        <w:ind w:left="1224"/>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(1 mark)</w:t>
      </w:r>
      <w:r w:rsidR="007671EA">
        <w:rPr>
          <w:rFonts w:ascii="Arial" w:eastAsia="Times New Roman" w:hAnsi="Arial" w:cs="Arial"/>
          <w:color w:val="000000"/>
          <w:sz w:val="21"/>
          <w:szCs w:val="21"/>
          <w:lang w:eastAsia="en-GB"/>
        </w:rPr>
        <w:t xml:space="preserve"> </w:t>
      </w:r>
      <w:r w:rsidR="003D459B">
        <w:rPr>
          <w:rFonts w:ascii="Arial" w:eastAsia="Times New Roman" w:hAnsi="Arial" w:cs="Arial"/>
          <w:color w:val="000000"/>
          <w:sz w:val="21"/>
          <w:szCs w:val="21"/>
          <w:lang w:eastAsia="en-GB"/>
        </w:rPr>
        <w:t xml:space="preserve"> (iii) (v) (i) (ii) (iv)</w:t>
      </w:r>
    </w:p>
    <w:p w14:paraId="275C465C" w14:textId="1F2A8566" w:rsidR="002820DD" w:rsidRPr="002820DD" w:rsidRDefault="00AD60E4" w:rsidP="002820DD">
      <w:pPr>
        <w:numPr>
          <w:ilvl w:val="0"/>
          <w:numId w:val="7"/>
        </w:numPr>
        <w:shd w:val="clear" w:color="auto" w:fill="FFFFFF"/>
        <w:spacing w:before="75" w:after="225"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Which</w:t>
      </w:r>
      <w:r w:rsidR="002820DD" w:rsidRPr="002820DD">
        <w:rPr>
          <w:rFonts w:ascii="Arial" w:eastAsia="Times New Roman" w:hAnsi="Arial" w:cs="Arial"/>
          <w:color w:val="000000"/>
          <w:sz w:val="21"/>
          <w:szCs w:val="21"/>
          <w:lang w:eastAsia="en-GB"/>
        </w:rPr>
        <w:t xml:space="preserve"> one of the steps in part (a) did you feel most confident about? Give reasons for your answer.</w:t>
      </w:r>
    </w:p>
    <w:p w14:paraId="1A03EF05" w14:textId="37B978DE" w:rsidR="002820DD" w:rsidRPr="002820DD" w:rsidRDefault="002820DD" w:rsidP="002820DD">
      <w:pPr>
        <w:shd w:val="clear" w:color="auto" w:fill="FFFFFF"/>
        <w:spacing w:before="75" w:after="225" w:line="240" w:lineRule="auto"/>
        <w:ind w:left="1224"/>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(3 marks)</w:t>
      </w:r>
      <w:r w:rsidR="0075719A">
        <w:rPr>
          <w:rFonts w:ascii="Arial" w:eastAsia="Times New Roman" w:hAnsi="Arial" w:cs="Arial"/>
          <w:color w:val="000000"/>
          <w:sz w:val="21"/>
          <w:szCs w:val="21"/>
          <w:lang w:eastAsia="en-GB"/>
        </w:rPr>
        <w:t xml:space="preserve"> step </w:t>
      </w:r>
      <w:r w:rsidR="00AD60E4">
        <w:rPr>
          <w:rFonts w:ascii="Arial" w:eastAsia="Times New Roman" w:hAnsi="Arial" w:cs="Arial"/>
          <w:color w:val="000000"/>
          <w:sz w:val="21"/>
          <w:szCs w:val="21"/>
          <w:lang w:eastAsia="en-GB"/>
        </w:rPr>
        <w:t>IV</w:t>
      </w:r>
      <w:r w:rsidR="0075719A">
        <w:rPr>
          <w:rFonts w:ascii="Arial" w:eastAsia="Times New Roman" w:hAnsi="Arial" w:cs="Arial"/>
          <w:color w:val="000000"/>
          <w:sz w:val="21"/>
          <w:szCs w:val="21"/>
          <w:lang w:eastAsia="en-GB"/>
        </w:rPr>
        <w:t xml:space="preserve"> writing my </w:t>
      </w:r>
      <w:r w:rsidR="00CA043F">
        <w:rPr>
          <w:rFonts w:ascii="Arial" w:eastAsia="Times New Roman" w:hAnsi="Arial" w:cs="Arial"/>
          <w:color w:val="000000"/>
          <w:sz w:val="21"/>
          <w:szCs w:val="21"/>
          <w:lang w:eastAsia="en-GB"/>
        </w:rPr>
        <w:t>answer,</w:t>
      </w:r>
      <w:r w:rsidR="0075719A">
        <w:rPr>
          <w:rFonts w:ascii="Arial" w:eastAsia="Times New Roman" w:hAnsi="Arial" w:cs="Arial"/>
          <w:color w:val="000000"/>
          <w:sz w:val="21"/>
          <w:szCs w:val="21"/>
          <w:lang w:eastAsia="en-GB"/>
        </w:rPr>
        <w:t xml:space="preserve"> this is the step I was confident </w:t>
      </w:r>
      <w:r w:rsidR="00CA043F">
        <w:rPr>
          <w:rFonts w:ascii="Arial" w:eastAsia="Times New Roman" w:hAnsi="Arial" w:cs="Arial"/>
          <w:color w:val="000000"/>
          <w:sz w:val="21"/>
          <w:szCs w:val="21"/>
          <w:lang w:eastAsia="en-GB"/>
        </w:rPr>
        <w:t xml:space="preserve">because the information I sourced for was the best for me to answer the question as required by the instructions that were provided </w:t>
      </w:r>
      <w:r w:rsidR="003D459B">
        <w:rPr>
          <w:rFonts w:ascii="Arial" w:eastAsia="Times New Roman" w:hAnsi="Arial" w:cs="Arial"/>
          <w:color w:val="000000"/>
          <w:sz w:val="21"/>
          <w:szCs w:val="21"/>
          <w:lang w:eastAsia="en-GB"/>
        </w:rPr>
        <w:t>and gathering info</w:t>
      </w:r>
      <w:r w:rsidR="00F30E50">
        <w:rPr>
          <w:rFonts w:ascii="Arial" w:eastAsia="Times New Roman" w:hAnsi="Arial" w:cs="Arial"/>
          <w:color w:val="000000"/>
          <w:sz w:val="21"/>
          <w:szCs w:val="21"/>
          <w:lang w:eastAsia="en-GB"/>
        </w:rPr>
        <w:t xml:space="preserve">rmation from different sources </w:t>
      </w:r>
    </w:p>
    <w:p w14:paraId="23F5641E" w14:textId="06610F8E" w:rsidR="002820DD" w:rsidRPr="002820DD" w:rsidRDefault="00AD60E4" w:rsidP="002820DD">
      <w:pPr>
        <w:numPr>
          <w:ilvl w:val="0"/>
          <w:numId w:val="7"/>
        </w:numPr>
        <w:shd w:val="clear" w:color="auto" w:fill="FFFFFF"/>
        <w:spacing w:before="75" w:after="225"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Which</w:t>
      </w:r>
      <w:r w:rsidR="002820DD" w:rsidRPr="002820DD">
        <w:rPr>
          <w:rFonts w:ascii="Arial" w:eastAsia="Times New Roman" w:hAnsi="Arial" w:cs="Arial"/>
          <w:color w:val="000000"/>
          <w:sz w:val="21"/>
          <w:szCs w:val="21"/>
          <w:lang w:eastAsia="en-GB"/>
        </w:rPr>
        <w:t xml:space="preserve"> one step in the IRAC method of answering problem-style questions did you find most challengin</w:t>
      </w:r>
      <w:r w:rsidR="003D459B">
        <w:rPr>
          <w:rFonts w:ascii="Arial" w:eastAsia="Times New Roman" w:hAnsi="Arial" w:cs="Arial"/>
          <w:color w:val="000000"/>
          <w:sz w:val="21"/>
          <w:szCs w:val="21"/>
          <w:lang w:eastAsia="en-GB"/>
        </w:rPr>
        <w:t>g? Give reasons for your answer</w:t>
      </w:r>
    </w:p>
    <w:p w14:paraId="180E8973" w14:textId="358F592C" w:rsidR="002820DD" w:rsidRPr="002820DD" w:rsidRDefault="002820DD" w:rsidP="002820DD">
      <w:pPr>
        <w:shd w:val="clear" w:color="auto" w:fill="FFFFFF"/>
        <w:spacing w:before="75" w:after="225" w:line="240" w:lineRule="auto"/>
        <w:ind w:left="1224"/>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(3 marks)</w:t>
      </w:r>
      <w:r w:rsidR="0058307E">
        <w:rPr>
          <w:rFonts w:ascii="Arial" w:eastAsia="Times New Roman" w:hAnsi="Arial" w:cs="Arial"/>
          <w:color w:val="000000"/>
          <w:sz w:val="21"/>
          <w:szCs w:val="21"/>
          <w:lang w:eastAsia="en-GB"/>
        </w:rPr>
        <w:t xml:space="preserve"> step iii reading the question and associated advice this is the step that I found most challenging for me because the strict formats offers little to no room for expansive discussion thus limiting the depth of the analysis </w:t>
      </w:r>
    </w:p>
    <w:p w14:paraId="00BBBD40" w14:textId="2EB47F53" w:rsidR="002820DD" w:rsidRPr="002820DD" w:rsidRDefault="00AD60E4" w:rsidP="002820DD">
      <w:pPr>
        <w:numPr>
          <w:ilvl w:val="0"/>
          <w:numId w:val="7"/>
        </w:numPr>
        <w:shd w:val="clear" w:color="auto" w:fill="FFFFFF"/>
        <w:spacing w:before="75" w:after="225" w:line="240" w:lineRule="auto"/>
        <w:ind w:left="1224"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Look</w:t>
      </w:r>
      <w:r w:rsidR="002820DD" w:rsidRPr="002820DD">
        <w:rPr>
          <w:rFonts w:ascii="Arial" w:eastAsia="Times New Roman" w:hAnsi="Arial" w:cs="Arial"/>
          <w:color w:val="000000"/>
          <w:sz w:val="21"/>
          <w:szCs w:val="21"/>
          <w:lang w:eastAsia="en-GB"/>
        </w:rPr>
        <w:t xml:space="preserve"> at the TMA 01 feedback your tutor gave you on the PT3 form and on your script.</w:t>
      </w:r>
    </w:p>
    <w:p w14:paraId="3D57E3C4" w14:textId="229D5B6A" w:rsidR="002820DD" w:rsidRPr="00632A40" w:rsidRDefault="002820DD" w:rsidP="002820DD">
      <w:pPr>
        <w:numPr>
          <w:ilvl w:val="1"/>
          <w:numId w:val="7"/>
        </w:numPr>
        <w:shd w:val="clear" w:color="auto" w:fill="FFFFFF"/>
        <w:spacing w:before="120" w:after="120" w:line="240" w:lineRule="auto"/>
        <w:ind w:left="2448" w:hanging="810"/>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i.Choose one quotation of up to 25 words that you found helpful, and quote it in your answer. </w:t>
      </w:r>
      <w:r w:rsidRPr="002820DD">
        <w:rPr>
          <w:rFonts w:ascii="Arial" w:eastAsia="Times New Roman" w:hAnsi="Arial" w:cs="Arial"/>
          <w:i/>
          <w:iCs/>
          <w:color w:val="000000"/>
          <w:sz w:val="21"/>
          <w:szCs w:val="21"/>
          <w:lang w:eastAsia="en-GB"/>
        </w:rPr>
        <w:t>This quotation will not be included in your word count.</w:t>
      </w:r>
    </w:p>
    <w:p w14:paraId="09C8B89E" w14:textId="031D8B2B" w:rsidR="00632A40" w:rsidRPr="00632A40" w:rsidRDefault="00632A40" w:rsidP="00632A40">
      <w:pPr>
        <w:shd w:val="clear" w:color="auto" w:fill="FFFFFF"/>
        <w:spacing w:before="120" w:after="120" w:line="240" w:lineRule="auto"/>
        <w:ind w:left="2448"/>
        <w:rPr>
          <w:rFonts w:ascii="Arial" w:eastAsia="Times New Roman" w:hAnsi="Arial" w:cs="Arial"/>
          <w:color w:val="000000"/>
          <w:sz w:val="21"/>
          <w:szCs w:val="21"/>
          <w:lang w:eastAsia="en-GB"/>
        </w:rPr>
      </w:pPr>
      <w:r>
        <w:rPr>
          <w:rFonts w:ascii="Arial" w:eastAsia="Times New Roman" w:hAnsi="Arial" w:cs="Arial"/>
          <w:iCs/>
          <w:color w:val="000000"/>
          <w:sz w:val="21"/>
          <w:szCs w:val="21"/>
          <w:lang w:eastAsia="en-GB"/>
        </w:rPr>
        <w:t>‘’</w:t>
      </w:r>
      <w:r w:rsidRPr="00632A40">
        <w:rPr>
          <w:rFonts w:ascii="Arial" w:eastAsia="Times New Roman" w:hAnsi="Arial" w:cs="Arial"/>
          <w:iCs/>
          <w:color w:val="000000"/>
          <w:sz w:val="21"/>
          <w:szCs w:val="21"/>
          <w:lang w:eastAsia="en-GB"/>
        </w:rPr>
        <w:t>The OU</w:t>
      </w:r>
      <w:r>
        <w:rPr>
          <w:rFonts w:ascii="Arial" w:eastAsia="Times New Roman" w:hAnsi="Arial" w:cs="Arial"/>
          <w:iCs/>
          <w:color w:val="000000"/>
          <w:sz w:val="21"/>
          <w:szCs w:val="21"/>
          <w:lang w:eastAsia="en-GB"/>
        </w:rPr>
        <w:t xml:space="preserve"> Law Undergraduate Assessment Guide contains definitions of works used in TMA questions and provides a guidance on in-text citations and the reference list ‘’</w:t>
      </w:r>
    </w:p>
    <w:p w14:paraId="6FC9B3CA" w14:textId="0F031E04" w:rsidR="002820DD" w:rsidRDefault="00906BA3" w:rsidP="002820DD">
      <w:pPr>
        <w:numPr>
          <w:ilvl w:val="1"/>
          <w:numId w:val="7"/>
        </w:numPr>
        <w:shd w:val="clear" w:color="auto" w:fill="FFFFFF"/>
        <w:spacing w:before="120" w:after="120" w:line="240" w:lineRule="auto"/>
        <w:ind w:left="2448" w:hanging="810"/>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i</w:t>
      </w:r>
      <w:r w:rsidRPr="002820DD">
        <w:rPr>
          <w:rFonts w:ascii="Arial" w:eastAsia="Times New Roman" w:hAnsi="Arial" w:cs="Arial"/>
          <w:color w:val="000000"/>
          <w:sz w:val="21"/>
          <w:szCs w:val="21"/>
          <w:lang w:eastAsia="en-GB"/>
        </w:rPr>
        <w:t>i.</w:t>
      </w:r>
      <w:r>
        <w:rPr>
          <w:rFonts w:ascii="Arial" w:eastAsia="Times New Roman" w:hAnsi="Arial" w:cs="Arial"/>
          <w:color w:val="000000"/>
          <w:sz w:val="21"/>
          <w:szCs w:val="21"/>
          <w:lang w:eastAsia="en-GB"/>
        </w:rPr>
        <w:t xml:space="preserve"> </w:t>
      </w:r>
      <w:r w:rsidRPr="002820DD">
        <w:rPr>
          <w:rFonts w:ascii="Arial" w:eastAsia="Times New Roman" w:hAnsi="Arial" w:cs="Arial"/>
          <w:color w:val="000000"/>
          <w:sz w:val="21"/>
          <w:szCs w:val="21"/>
          <w:lang w:eastAsia="en-GB"/>
        </w:rPr>
        <w:t>Explain</w:t>
      </w:r>
      <w:r>
        <w:rPr>
          <w:rFonts w:ascii="Arial" w:eastAsia="Times New Roman" w:hAnsi="Arial" w:cs="Arial"/>
          <w:color w:val="000000"/>
          <w:sz w:val="21"/>
          <w:szCs w:val="21"/>
          <w:lang w:eastAsia="en-GB"/>
        </w:rPr>
        <w:t xml:space="preserve"> </w:t>
      </w:r>
      <w:r w:rsidR="002820DD" w:rsidRPr="002820DD">
        <w:rPr>
          <w:rFonts w:ascii="Arial" w:eastAsia="Times New Roman" w:hAnsi="Arial" w:cs="Arial"/>
          <w:color w:val="000000"/>
          <w:sz w:val="21"/>
          <w:szCs w:val="21"/>
          <w:lang w:eastAsia="en-GB"/>
        </w:rPr>
        <w:t>how you plan to use the piece of feedback you have quoted when you are preparing TMA 03.</w:t>
      </w:r>
    </w:p>
    <w:p w14:paraId="41BB4915" w14:textId="781DD4FF" w:rsidR="00632A40" w:rsidRPr="002820DD" w:rsidRDefault="00632A40" w:rsidP="00632A40">
      <w:pPr>
        <w:shd w:val="clear" w:color="auto" w:fill="FFFFFF"/>
        <w:spacing w:before="120" w:after="120" w:line="240" w:lineRule="auto"/>
        <w:ind w:left="2448"/>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I will use the OU law Un</w:t>
      </w:r>
      <w:r w:rsidR="00613C5B">
        <w:rPr>
          <w:rFonts w:ascii="Arial" w:eastAsia="Times New Roman" w:hAnsi="Arial" w:cs="Arial"/>
          <w:color w:val="000000"/>
          <w:sz w:val="21"/>
          <w:szCs w:val="21"/>
          <w:lang w:eastAsia="en-GB"/>
        </w:rPr>
        <w:t>dergraduate Assessment Guide to</w:t>
      </w:r>
      <w:r>
        <w:rPr>
          <w:rFonts w:ascii="Arial" w:eastAsia="Times New Roman" w:hAnsi="Arial" w:cs="Arial"/>
          <w:color w:val="000000"/>
          <w:sz w:val="21"/>
          <w:szCs w:val="21"/>
          <w:lang w:eastAsia="en-GB"/>
        </w:rPr>
        <w:t xml:space="preserve"> source for information is that is required t</w:t>
      </w:r>
      <w:r w:rsidR="00613C5B">
        <w:rPr>
          <w:rFonts w:ascii="Arial" w:eastAsia="Times New Roman" w:hAnsi="Arial" w:cs="Arial"/>
          <w:color w:val="000000"/>
          <w:sz w:val="21"/>
          <w:szCs w:val="21"/>
          <w:lang w:eastAsia="en-GB"/>
        </w:rPr>
        <w:t xml:space="preserve">o the questions in the best way that is expected and it will me to make in-texts citations where necessary to avoid plagiarism </w:t>
      </w:r>
    </w:p>
    <w:p w14:paraId="28032CAB" w14:textId="77777777" w:rsidR="002820DD" w:rsidRPr="002820DD" w:rsidRDefault="002820DD" w:rsidP="002820DD">
      <w:pPr>
        <w:shd w:val="clear" w:color="auto" w:fill="FFFFFF"/>
        <w:spacing w:before="75" w:after="225" w:line="240" w:lineRule="auto"/>
        <w:ind w:left="1224"/>
        <w:rPr>
          <w:rFonts w:ascii="Arial" w:eastAsia="Times New Roman" w:hAnsi="Arial" w:cs="Arial"/>
          <w:color w:val="000000"/>
          <w:sz w:val="21"/>
          <w:szCs w:val="21"/>
          <w:lang w:eastAsia="en-GB"/>
        </w:rPr>
      </w:pPr>
      <w:r w:rsidRPr="002820DD">
        <w:rPr>
          <w:rFonts w:ascii="Arial" w:eastAsia="Times New Roman" w:hAnsi="Arial" w:cs="Arial"/>
          <w:color w:val="000000"/>
          <w:sz w:val="21"/>
          <w:szCs w:val="21"/>
          <w:lang w:eastAsia="en-GB"/>
        </w:rPr>
        <w:t>(3 marks)</w:t>
      </w:r>
    </w:p>
    <w:p w14:paraId="126CE743" w14:textId="02303C0D" w:rsidR="001C271F" w:rsidRDefault="001C271F"/>
    <w:p w14:paraId="204D8303" w14:textId="77777777" w:rsidR="00D66B5A" w:rsidRPr="00D66B5A" w:rsidRDefault="00D66B5A" w:rsidP="00D66B5A">
      <w:pPr>
        <w:shd w:val="clear" w:color="auto" w:fill="FFFFFF"/>
        <w:spacing w:after="150" w:line="240" w:lineRule="auto"/>
        <w:outlineLvl w:val="0"/>
        <w:rPr>
          <w:rFonts w:ascii="Arial" w:eastAsia="Times New Roman" w:hAnsi="Arial" w:cs="Arial"/>
          <w:b/>
          <w:bCs/>
          <w:color w:val="002158"/>
          <w:kern w:val="36"/>
          <w:sz w:val="36"/>
          <w:szCs w:val="36"/>
          <w:lang w:eastAsia="en-GB"/>
        </w:rPr>
      </w:pPr>
      <w:r w:rsidRPr="00D66B5A">
        <w:rPr>
          <w:rFonts w:ascii="Arial" w:eastAsia="Times New Roman" w:hAnsi="Arial" w:cs="Arial"/>
          <w:b/>
          <w:bCs/>
          <w:color w:val="002158"/>
          <w:kern w:val="36"/>
          <w:sz w:val="36"/>
          <w:szCs w:val="36"/>
          <w:lang w:eastAsia="en-GB"/>
        </w:rPr>
        <w:t>Learning outcomes</w:t>
      </w:r>
    </w:p>
    <w:p w14:paraId="58A7D398" w14:textId="77777777" w:rsidR="00D66B5A" w:rsidRPr="00D66B5A" w:rsidRDefault="00D66B5A" w:rsidP="00D66B5A">
      <w:pPr>
        <w:shd w:val="clear" w:color="auto" w:fill="FFFFFF"/>
        <w:spacing w:before="75" w:after="225" w:line="240" w:lineRule="auto"/>
        <w:rPr>
          <w:rFonts w:ascii="Arial" w:eastAsia="Times New Roman" w:hAnsi="Arial" w:cs="Arial"/>
          <w:color w:val="000000"/>
          <w:sz w:val="21"/>
          <w:szCs w:val="21"/>
          <w:lang w:eastAsia="en-GB"/>
        </w:rPr>
      </w:pPr>
      <w:r w:rsidRPr="00D66B5A">
        <w:rPr>
          <w:rFonts w:ascii="Arial" w:eastAsia="Times New Roman" w:hAnsi="Arial" w:cs="Arial"/>
          <w:color w:val="000000"/>
          <w:sz w:val="21"/>
          <w:szCs w:val="21"/>
          <w:lang w:eastAsia="en-GB"/>
        </w:rPr>
        <w:t>This TMA tests the following learning outcomes:</w:t>
      </w:r>
    </w:p>
    <w:p w14:paraId="396D4F54" w14:textId="77777777" w:rsidR="00D66B5A" w:rsidRPr="00D66B5A" w:rsidRDefault="00D66B5A" w:rsidP="00D66B5A">
      <w:pPr>
        <w:shd w:val="clear" w:color="auto" w:fill="FFFFFF"/>
        <w:spacing w:after="0" w:line="240" w:lineRule="auto"/>
        <w:outlineLvl w:val="1"/>
        <w:rPr>
          <w:rFonts w:ascii="Arial" w:eastAsia="Times New Roman" w:hAnsi="Arial" w:cs="Arial"/>
          <w:color w:val="002158"/>
          <w:sz w:val="27"/>
          <w:szCs w:val="27"/>
          <w:lang w:eastAsia="en-GB"/>
        </w:rPr>
      </w:pPr>
      <w:r w:rsidRPr="00D66B5A">
        <w:rPr>
          <w:rFonts w:ascii="Arial" w:eastAsia="Times New Roman" w:hAnsi="Arial" w:cs="Arial"/>
          <w:color w:val="002158"/>
          <w:sz w:val="27"/>
          <w:szCs w:val="27"/>
          <w:lang w:eastAsia="en-GB"/>
        </w:rPr>
        <w:t>Knowledge and understanding:</w:t>
      </w:r>
    </w:p>
    <w:p w14:paraId="31890C94" w14:textId="77777777" w:rsidR="00D66B5A" w:rsidRPr="00D66B5A" w:rsidRDefault="00D66B5A" w:rsidP="00D66B5A">
      <w:pPr>
        <w:numPr>
          <w:ilvl w:val="0"/>
          <w:numId w:val="8"/>
        </w:numPr>
        <w:shd w:val="clear" w:color="auto" w:fill="FFFFFF"/>
        <w:spacing w:before="120" w:after="120" w:line="240" w:lineRule="auto"/>
        <w:ind w:left="1224"/>
        <w:rPr>
          <w:rFonts w:ascii="Arial" w:eastAsia="Times New Roman" w:hAnsi="Arial" w:cs="Arial"/>
          <w:color w:val="000000"/>
          <w:sz w:val="21"/>
          <w:szCs w:val="21"/>
          <w:lang w:eastAsia="en-GB"/>
        </w:rPr>
      </w:pPr>
      <w:r w:rsidRPr="00D66B5A">
        <w:rPr>
          <w:rFonts w:ascii="Arial" w:eastAsia="Times New Roman" w:hAnsi="Arial" w:cs="Arial"/>
          <w:color w:val="000000"/>
          <w:sz w:val="21"/>
          <w:szCs w:val="21"/>
          <w:lang w:eastAsia="en-GB"/>
        </w:rPr>
        <w:t>describe the purpose of the Human Rights Act 1998, and its potential effect on individuals’ ECHR rights in the UK courts</w:t>
      </w:r>
    </w:p>
    <w:p w14:paraId="71B4530B" w14:textId="77777777" w:rsidR="00D66B5A" w:rsidRPr="00D66B5A" w:rsidRDefault="00D66B5A" w:rsidP="00D66B5A">
      <w:pPr>
        <w:numPr>
          <w:ilvl w:val="0"/>
          <w:numId w:val="8"/>
        </w:numPr>
        <w:shd w:val="clear" w:color="auto" w:fill="FFFFFF"/>
        <w:spacing w:before="120" w:after="120" w:line="240" w:lineRule="auto"/>
        <w:ind w:left="1224"/>
        <w:rPr>
          <w:rFonts w:ascii="Arial" w:eastAsia="Times New Roman" w:hAnsi="Arial" w:cs="Arial"/>
          <w:color w:val="000000"/>
          <w:sz w:val="21"/>
          <w:szCs w:val="21"/>
          <w:lang w:eastAsia="en-GB"/>
        </w:rPr>
      </w:pPr>
      <w:r w:rsidRPr="00D66B5A">
        <w:rPr>
          <w:rFonts w:ascii="Arial" w:eastAsia="Times New Roman" w:hAnsi="Arial" w:cs="Arial"/>
          <w:color w:val="000000"/>
          <w:sz w:val="21"/>
          <w:szCs w:val="21"/>
          <w:lang w:eastAsia="en-GB"/>
        </w:rPr>
        <w:t>describe the composition and roles of the European Parliament.</w:t>
      </w:r>
    </w:p>
    <w:p w14:paraId="2DE2BF90" w14:textId="77777777" w:rsidR="00D66B5A" w:rsidRPr="00D66B5A" w:rsidRDefault="00D66B5A" w:rsidP="00D66B5A">
      <w:pPr>
        <w:shd w:val="clear" w:color="auto" w:fill="FFFFFF"/>
        <w:spacing w:after="0" w:line="240" w:lineRule="auto"/>
        <w:outlineLvl w:val="1"/>
        <w:rPr>
          <w:rFonts w:ascii="Arial" w:eastAsia="Times New Roman" w:hAnsi="Arial" w:cs="Arial"/>
          <w:color w:val="002158"/>
          <w:sz w:val="27"/>
          <w:szCs w:val="27"/>
          <w:lang w:eastAsia="en-GB"/>
        </w:rPr>
      </w:pPr>
      <w:r w:rsidRPr="00D66B5A">
        <w:rPr>
          <w:rFonts w:ascii="Arial" w:eastAsia="Times New Roman" w:hAnsi="Arial" w:cs="Arial"/>
          <w:color w:val="002158"/>
          <w:sz w:val="27"/>
          <w:szCs w:val="27"/>
          <w:lang w:eastAsia="en-GB"/>
        </w:rPr>
        <w:t>Skills:</w:t>
      </w:r>
    </w:p>
    <w:p w14:paraId="6EDBC6CF" w14:textId="77777777" w:rsidR="00D66B5A" w:rsidRPr="00D66B5A" w:rsidRDefault="00D66B5A" w:rsidP="00D66B5A">
      <w:pPr>
        <w:numPr>
          <w:ilvl w:val="0"/>
          <w:numId w:val="9"/>
        </w:numPr>
        <w:shd w:val="clear" w:color="auto" w:fill="FFFFFF"/>
        <w:spacing w:before="120" w:after="120" w:line="240" w:lineRule="auto"/>
        <w:ind w:left="1224"/>
        <w:rPr>
          <w:rFonts w:ascii="Arial" w:eastAsia="Times New Roman" w:hAnsi="Arial" w:cs="Arial"/>
          <w:color w:val="000000"/>
          <w:sz w:val="21"/>
          <w:szCs w:val="21"/>
          <w:lang w:eastAsia="en-GB"/>
        </w:rPr>
      </w:pPr>
      <w:r w:rsidRPr="00D66B5A">
        <w:rPr>
          <w:rFonts w:ascii="Arial" w:eastAsia="Times New Roman" w:hAnsi="Arial" w:cs="Arial"/>
          <w:color w:val="000000"/>
          <w:sz w:val="21"/>
          <w:szCs w:val="21"/>
          <w:lang w:eastAsia="en-GB"/>
        </w:rPr>
        <w:t>access, and make notes on, information from a range of sources</w:t>
      </w:r>
    </w:p>
    <w:p w14:paraId="0066E8B1" w14:textId="77777777" w:rsidR="00D66B5A" w:rsidRPr="00D66B5A" w:rsidRDefault="00D66B5A" w:rsidP="00D66B5A">
      <w:pPr>
        <w:numPr>
          <w:ilvl w:val="0"/>
          <w:numId w:val="9"/>
        </w:numPr>
        <w:shd w:val="clear" w:color="auto" w:fill="FFFFFF"/>
        <w:spacing w:before="120" w:after="120" w:line="240" w:lineRule="auto"/>
        <w:ind w:left="1224"/>
        <w:rPr>
          <w:rFonts w:ascii="Arial" w:eastAsia="Times New Roman" w:hAnsi="Arial" w:cs="Arial"/>
          <w:color w:val="000000"/>
          <w:sz w:val="21"/>
          <w:szCs w:val="21"/>
          <w:lang w:eastAsia="en-GB"/>
        </w:rPr>
      </w:pPr>
      <w:r w:rsidRPr="00D66B5A">
        <w:rPr>
          <w:rFonts w:ascii="Arial" w:eastAsia="Times New Roman" w:hAnsi="Arial" w:cs="Arial"/>
          <w:color w:val="000000"/>
          <w:sz w:val="21"/>
          <w:szCs w:val="21"/>
          <w:lang w:eastAsia="en-GB"/>
        </w:rPr>
        <w:t>write using a clear and logical sequence of sentences and paragraphs appropriate for the level of study, subject and audience</w:t>
      </w:r>
    </w:p>
    <w:p w14:paraId="06F97A96" w14:textId="77777777" w:rsidR="00D66B5A" w:rsidRPr="00D66B5A" w:rsidRDefault="00D66B5A" w:rsidP="00D66B5A">
      <w:pPr>
        <w:numPr>
          <w:ilvl w:val="0"/>
          <w:numId w:val="9"/>
        </w:numPr>
        <w:shd w:val="clear" w:color="auto" w:fill="FFFFFF"/>
        <w:spacing w:before="120" w:after="120" w:line="240" w:lineRule="auto"/>
        <w:ind w:left="1224"/>
        <w:rPr>
          <w:rFonts w:ascii="Arial" w:eastAsia="Times New Roman" w:hAnsi="Arial" w:cs="Arial"/>
          <w:color w:val="000000"/>
          <w:sz w:val="21"/>
          <w:szCs w:val="21"/>
          <w:lang w:eastAsia="en-GB"/>
        </w:rPr>
      </w:pPr>
      <w:r w:rsidRPr="00D66B5A">
        <w:rPr>
          <w:rFonts w:ascii="Arial" w:eastAsia="Times New Roman" w:hAnsi="Arial" w:cs="Arial"/>
          <w:color w:val="000000"/>
          <w:sz w:val="21"/>
          <w:szCs w:val="21"/>
          <w:lang w:eastAsia="en-GB"/>
        </w:rPr>
        <w:t>answer a problem-style question</w:t>
      </w:r>
    </w:p>
    <w:p w14:paraId="2BE08D62" w14:textId="77777777" w:rsidR="00D66B5A" w:rsidRPr="00D66B5A" w:rsidRDefault="00D66B5A" w:rsidP="00D66B5A">
      <w:pPr>
        <w:numPr>
          <w:ilvl w:val="0"/>
          <w:numId w:val="9"/>
        </w:numPr>
        <w:shd w:val="clear" w:color="auto" w:fill="FFFFFF"/>
        <w:spacing w:before="120" w:after="120" w:line="240" w:lineRule="auto"/>
        <w:ind w:left="1224"/>
        <w:rPr>
          <w:rFonts w:ascii="Arial" w:eastAsia="Times New Roman" w:hAnsi="Arial" w:cs="Arial"/>
          <w:color w:val="000000"/>
          <w:sz w:val="21"/>
          <w:szCs w:val="21"/>
          <w:lang w:eastAsia="en-GB"/>
        </w:rPr>
      </w:pPr>
      <w:r w:rsidRPr="00D66B5A">
        <w:rPr>
          <w:rFonts w:ascii="Arial" w:eastAsia="Times New Roman" w:hAnsi="Arial" w:cs="Arial"/>
          <w:color w:val="000000"/>
          <w:sz w:val="21"/>
          <w:szCs w:val="21"/>
          <w:lang w:eastAsia="en-GB"/>
        </w:rPr>
        <w:t>reflect on your own learning.</w:t>
      </w:r>
    </w:p>
    <w:p w14:paraId="0F7C677D" w14:textId="64EEA30B" w:rsidR="00D66B5A" w:rsidRDefault="00D66B5A"/>
    <w:p w14:paraId="31F1C1C7" w14:textId="22A3AE89" w:rsidR="002F5941" w:rsidRDefault="002F5941"/>
    <w:p w14:paraId="7C6B7CEE" w14:textId="42A4BB62" w:rsidR="002F5941" w:rsidRDefault="002F5941"/>
    <w:p w14:paraId="44B5816F" w14:textId="02334935" w:rsidR="002F5941" w:rsidRDefault="002F5941"/>
    <w:p w14:paraId="048C2D7B" w14:textId="10B97625" w:rsidR="002F5941" w:rsidRDefault="002F5941"/>
    <w:p w14:paraId="35F6253A" w14:textId="3EFEEAB7" w:rsidR="002F5941" w:rsidRDefault="002F5941"/>
    <w:p w14:paraId="547F38F5" w14:textId="2FB8FDF9" w:rsidR="002F5941" w:rsidRDefault="002F5941"/>
    <w:p w14:paraId="66F413AB" w14:textId="3CA37BA3" w:rsidR="002F5941" w:rsidRDefault="002F5941"/>
    <w:p w14:paraId="66CAE0FF" w14:textId="10268D1A" w:rsidR="002F5941" w:rsidRDefault="002F5941"/>
    <w:p w14:paraId="31FFD897" w14:textId="3F24F0E6" w:rsidR="002F5941" w:rsidRDefault="002F5941"/>
    <w:p w14:paraId="073A6B72" w14:textId="67389741" w:rsidR="002F5941" w:rsidRDefault="002F5941"/>
    <w:p w14:paraId="010F8437" w14:textId="4B4FDF29" w:rsidR="002F5941" w:rsidRDefault="002F5941"/>
    <w:p w14:paraId="1DBE4DC4" w14:textId="77777777" w:rsidR="002F5941" w:rsidRDefault="002F5941" w:rsidP="002F5941">
      <w:pPr>
        <w:pStyle w:val="Heading1"/>
        <w:shd w:val="clear" w:color="auto" w:fill="FFFFFF"/>
        <w:spacing w:before="0" w:beforeAutospacing="0" w:after="150" w:afterAutospacing="0"/>
        <w:rPr>
          <w:rFonts w:ascii="Arial" w:hAnsi="Arial" w:cs="Arial"/>
          <w:color w:val="002158"/>
          <w:sz w:val="36"/>
          <w:szCs w:val="36"/>
        </w:rPr>
      </w:pPr>
      <w:r>
        <w:rPr>
          <w:rFonts w:ascii="Arial" w:hAnsi="Arial" w:cs="Arial"/>
          <w:color w:val="002158"/>
          <w:sz w:val="36"/>
          <w:szCs w:val="36"/>
        </w:rPr>
        <w:t>General advice</w:t>
      </w:r>
    </w:p>
    <w:p w14:paraId="28BA10C7" w14:textId="77777777" w:rsidR="002F5941" w:rsidRDefault="002F5941" w:rsidP="002F594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The </w:t>
      </w:r>
      <w:hyperlink r:id="rId5" w:history="1">
        <w:r>
          <w:rPr>
            <w:rStyle w:val="Hyperlink"/>
            <w:rFonts w:ascii="Arial" w:hAnsi="Arial" w:cs="Arial"/>
            <w:color w:val="0B55A8"/>
            <w:sz w:val="21"/>
            <w:szCs w:val="21"/>
          </w:rPr>
          <w:t>OU Law School Undergraduate Assessment Guide</w:t>
        </w:r>
      </w:hyperlink>
      <w:r>
        <w:rPr>
          <w:rFonts w:ascii="Arial" w:hAnsi="Arial" w:cs="Arial"/>
          <w:color w:val="000000"/>
          <w:sz w:val="2"/>
          <w:szCs w:val="2"/>
        </w:rPr>
        <w:t> </w:t>
      </w:r>
      <w:r>
        <w:rPr>
          <w:rFonts w:ascii="Arial" w:hAnsi="Arial" w:cs="Arial"/>
          <w:color w:val="000000"/>
          <w:sz w:val="21"/>
          <w:szCs w:val="21"/>
        </w:rPr>
        <w:t> contains definitions of words used in TMA questions, and provides guidance on in-text citations and the reference list that you must produce and include at the end of your work. You should read this guide before attempting TMA 02.</w:t>
      </w:r>
    </w:p>
    <w:p w14:paraId="05225B18" w14:textId="77777777" w:rsidR="002F5941" w:rsidRDefault="002F5941" w:rsidP="002F594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It is important to </w:t>
      </w:r>
      <w:hyperlink r:id="rId6" w:history="1">
        <w:r>
          <w:rPr>
            <w:rStyle w:val="Hyperlink"/>
            <w:rFonts w:ascii="Arial" w:hAnsi="Arial" w:cs="Arial"/>
            <w:color w:val="0B55A8"/>
            <w:sz w:val="21"/>
            <w:szCs w:val="21"/>
          </w:rPr>
          <w:t>write in your own words</w:t>
        </w:r>
      </w:hyperlink>
      <w:r>
        <w:rPr>
          <w:rFonts w:ascii="Arial" w:hAnsi="Arial" w:cs="Arial"/>
          <w:color w:val="000000"/>
          <w:sz w:val="21"/>
          <w:szCs w:val="21"/>
        </w:rPr>
        <w:t>. This means that you should explain the content of the module materials by reformulating the information within them.</w:t>
      </w:r>
    </w:p>
    <w:p w14:paraId="120D4F0F" w14:textId="77777777" w:rsidR="002F5941" w:rsidRDefault="002F5941" w:rsidP="002F594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Every sentence in your TMA must contribute to your overall answer.</w:t>
      </w:r>
    </w:p>
    <w:p w14:paraId="239EB3CA" w14:textId="77777777" w:rsidR="002F5941" w:rsidRDefault="002F5941" w:rsidP="002F594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No marks are awarded for referencing on this TMA, but you should ensure that you include at least one in-text citation, and a full reference, for Units 8 and 9. Your tutor will give feedback on this aspect of your work, for which marks will be available from TMA 03.</w:t>
      </w:r>
    </w:p>
    <w:p w14:paraId="1A640ED9" w14:textId="77777777" w:rsidR="002F5941" w:rsidRDefault="002F5941" w:rsidP="002F594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Your answers to Questions 1 and 2 must be written in the third person, avoiding the use of words such as ‘me’ and ‘you’.</w:t>
      </w:r>
    </w:p>
    <w:p w14:paraId="0B9A52BB" w14:textId="77777777" w:rsidR="002F5941" w:rsidRDefault="002F5941" w:rsidP="002F594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Your answer to Question 3 should be written in the first person – that is, using ‘I’, ‘me’, ‘my’, etc.</w:t>
      </w:r>
    </w:p>
    <w:p w14:paraId="3A6496BE" w14:textId="77777777" w:rsidR="002F5941" w:rsidRDefault="002F5941" w:rsidP="002F594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You must demonstrate the ability to find and select relevant material.</w:t>
      </w:r>
    </w:p>
    <w:p w14:paraId="3FF7C373" w14:textId="77777777" w:rsidR="002F5941" w:rsidRDefault="002F5941" w:rsidP="002F594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It is very important that you are clear about exactly what you are being asked to do, and you must address the questions.</w:t>
      </w:r>
    </w:p>
    <w:p w14:paraId="1F11F71C" w14:textId="77777777" w:rsidR="002F5941" w:rsidRDefault="002F5941" w:rsidP="002F594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You should check your TMA carefully before submission, ensuring that you correct any spelling or grammatical mistakes.</w:t>
      </w:r>
    </w:p>
    <w:p w14:paraId="5231160A" w14:textId="77777777" w:rsidR="002F5941" w:rsidRDefault="002F5941"/>
    <w:sectPr w:rsidR="002F59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6C14"/>
    <w:multiLevelType w:val="multilevel"/>
    <w:tmpl w:val="182A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30BFA"/>
    <w:multiLevelType w:val="multilevel"/>
    <w:tmpl w:val="48F4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D0958"/>
    <w:multiLevelType w:val="multilevel"/>
    <w:tmpl w:val="58FA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64795"/>
    <w:multiLevelType w:val="multilevel"/>
    <w:tmpl w:val="B452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A78B2"/>
    <w:multiLevelType w:val="multilevel"/>
    <w:tmpl w:val="4C34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1C0F69"/>
    <w:multiLevelType w:val="multilevel"/>
    <w:tmpl w:val="B33E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E37CB"/>
    <w:multiLevelType w:val="multilevel"/>
    <w:tmpl w:val="42E2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B58AE"/>
    <w:multiLevelType w:val="multilevel"/>
    <w:tmpl w:val="79066C2C"/>
    <w:lvl w:ilvl="0">
      <w:start w:val="1"/>
      <w:numFmt w:val="lowerLetter"/>
      <w:lvlText w:val="%1."/>
      <w:lvlJc w:val="left"/>
      <w:pPr>
        <w:tabs>
          <w:tab w:val="num" w:pos="360"/>
        </w:tabs>
        <w:ind w:left="360" w:hanging="360"/>
      </w:pPr>
      <w:rPr>
        <w:rFonts w:ascii="Arial" w:eastAsia="Times New Roman" w:hAnsi="Arial" w:cs="Arial"/>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A684A2C"/>
    <w:multiLevelType w:val="hybridMultilevel"/>
    <w:tmpl w:val="5E3CA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B42DB3"/>
    <w:multiLevelType w:val="multilevel"/>
    <w:tmpl w:val="DD88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6"/>
  </w:num>
  <w:num w:numId="6">
    <w:abstractNumId w:val="9"/>
  </w:num>
  <w:num w:numId="7">
    <w:abstractNumId w:val="7"/>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DD"/>
    <w:rsid w:val="000A2607"/>
    <w:rsid w:val="001306BA"/>
    <w:rsid w:val="001547D5"/>
    <w:rsid w:val="001C271F"/>
    <w:rsid w:val="002820DD"/>
    <w:rsid w:val="002F5941"/>
    <w:rsid w:val="00322FAD"/>
    <w:rsid w:val="003302F9"/>
    <w:rsid w:val="003916C2"/>
    <w:rsid w:val="003D459B"/>
    <w:rsid w:val="004A5B24"/>
    <w:rsid w:val="005124E2"/>
    <w:rsid w:val="0058307E"/>
    <w:rsid w:val="005C6A2D"/>
    <w:rsid w:val="00613C5B"/>
    <w:rsid w:val="00632A40"/>
    <w:rsid w:val="00661253"/>
    <w:rsid w:val="0075719A"/>
    <w:rsid w:val="007671EA"/>
    <w:rsid w:val="007C2DCF"/>
    <w:rsid w:val="008C04ED"/>
    <w:rsid w:val="008C33AD"/>
    <w:rsid w:val="008E050A"/>
    <w:rsid w:val="00906BA3"/>
    <w:rsid w:val="00926B59"/>
    <w:rsid w:val="00926D91"/>
    <w:rsid w:val="00985B61"/>
    <w:rsid w:val="00A140E9"/>
    <w:rsid w:val="00A77FCA"/>
    <w:rsid w:val="00AA4882"/>
    <w:rsid w:val="00AD60E4"/>
    <w:rsid w:val="00B779E7"/>
    <w:rsid w:val="00BB02F7"/>
    <w:rsid w:val="00CA043F"/>
    <w:rsid w:val="00D5300E"/>
    <w:rsid w:val="00D66B5A"/>
    <w:rsid w:val="00D7004F"/>
    <w:rsid w:val="00E16EEF"/>
    <w:rsid w:val="00EB5F77"/>
    <w:rsid w:val="00EB6B26"/>
    <w:rsid w:val="00ED08D1"/>
    <w:rsid w:val="00EF73FB"/>
    <w:rsid w:val="00F30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E005"/>
  <w15:chartTrackingRefBased/>
  <w15:docId w15:val="{5B1FC537-3413-41C9-ACDA-FF280014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20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820D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820D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0D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820D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820DD"/>
    <w:rPr>
      <w:rFonts w:ascii="Times New Roman" w:eastAsia="Times New Roman" w:hAnsi="Times New Roman" w:cs="Times New Roman"/>
      <w:b/>
      <w:bCs/>
      <w:sz w:val="27"/>
      <w:szCs w:val="27"/>
      <w:lang w:eastAsia="en-GB"/>
    </w:rPr>
  </w:style>
  <w:style w:type="paragraph" w:customStyle="1" w:styleId="oucontent-markerdirect">
    <w:name w:val="oucontent-markerdirect"/>
    <w:basedOn w:val="Normal"/>
    <w:rsid w:val="002820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ucontent-listmarker">
    <w:name w:val="oucontent-listmarker"/>
    <w:basedOn w:val="DefaultParagraphFont"/>
    <w:rsid w:val="002820DD"/>
  </w:style>
  <w:style w:type="paragraph" w:styleId="NormalWeb">
    <w:name w:val="Normal (Web)"/>
    <w:basedOn w:val="Normal"/>
    <w:uiPriority w:val="99"/>
    <w:semiHidden/>
    <w:unhideWhenUsed/>
    <w:rsid w:val="002820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ucontent-markerpara">
    <w:name w:val="oucontent-markerpara"/>
    <w:basedOn w:val="Normal"/>
    <w:rsid w:val="002820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F5941"/>
    <w:rPr>
      <w:color w:val="0000FF"/>
      <w:u w:val="single"/>
    </w:rPr>
  </w:style>
  <w:style w:type="paragraph" w:styleId="ListParagraph">
    <w:name w:val="List Paragraph"/>
    <w:basedOn w:val="Normal"/>
    <w:uiPriority w:val="34"/>
    <w:qFormat/>
    <w:rsid w:val="00D70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02516">
      <w:bodyDiv w:val="1"/>
      <w:marLeft w:val="0"/>
      <w:marRight w:val="0"/>
      <w:marTop w:val="0"/>
      <w:marBottom w:val="0"/>
      <w:divBdr>
        <w:top w:val="none" w:sz="0" w:space="0" w:color="auto"/>
        <w:left w:val="none" w:sz="0" w:space="0" w:color="auto"/>
        <w:bottom w:val="none" w:sz="0" w:space="0" w:color="auto"/>
        <w:right w:val="none" w:sz="0" w:space="0" w:color="auto"/>
      </w:divBdr>
    </w:div>
    <w:div w:id="903181932">
      <w:bodyDiv w:val="1"/>
      <w:marLeft w:val="0"/>
      <w:marRight w:val="0"/>
      <w:marTop w:val="0"/>
      <w:marBottom w:val="0"/>
      <w:divBdr>
        <w:top w:val="none" w:sz="0" w:space="0" w:color="auto"/>
        <w:left w:val="none" w:sz="0" w:space="0" w:color="auto"/>
        <w:bottom w:val="none" w:sz="0" w:space="0" w:color="auto"/>
        <w:right w:val="none" w:sz="0" w:space="0" w:color="auto"/>
      </w:divBdr>
      <w:divsChild>
        <w:div w:id="873007149">
          <w:marLeft w:val="0"/>
          <w:marRight w:val="0"/>
          <w:marTop w:val="0"/>
          <w:marBottom w:val="0"/>
          <w:divBdr>
            <w:top w:val="none" w:sz="0" w:space="0" w:color="auto"/>
            <w:left w:val="none" w:sz="0" w:space="0" w:color="auto"/>
            <w:bottom w:val="none" w:sz="0" w:space="0" w:color="auto"/>
            <w:right w:val="none" w:sz="0" w:space="0" w:color="auto"/>
          </w:divBdr>
        </w:div>
        <w:div w:id="1312825459">
          <w:marLeft w:val="0"/>
          <w:marRight w:val="0"/>
          <w:marTop w:val="0"/>
          <w:marBottom w:val="0"/>
          <w:divBdr>
            <w:top w:val="none" w:sz="0" w:space="0" w:color="auto"/>
            <w:left w:val="none" w:sz="0" w:space="0" w:color="auto"/>
            <w:bottom w:val="none" w:sz="0" w:space="0" w:color="auto"/>
            <w:right w:val="none" w:sz="0" w:space="0" w:color="auto"/>
          </w:divBdr>
          <w:divsChild>
            <w:div w:id="1931426532">
              <w:marLeft w:val="0"/>
              <w:marRight w:val="0"/>
              <w:marTop w:val="300"/>
              <w:marBottom w:val="375"/>
              <w:divBdr>
                <w:top w:val="none" w:sz="0" w:space="0" w:color="auto"/>
                <w:left w:val="none" w:sz="0" w:space="0" w:color="auto"/>
                <w:bottom w:val="none" w:sz="0" w:space="0" w:color="auto"/>
                <w:right w:val="none" w:sz="0" w:space="0" w:color="auto"/>
              </w:divBdr>
              <w:divsChild>
                <w:div w:id="2084912178">
                  <w:marLeft w:val="0"/>
                  <w:marRight w:val="0"/>
                  <w:marTop w:val="0"/>
                  <w:marBottom w:val="0"/>
                  <w:divBdr>
                    <w:top w:val="none" w:sz="0" w:space="0" w:color="auto"/>
                    <w:left w:val="none" w:sz="0" w:space="0" w:color="auto"/>
                    <w:bottom w:val="none" w:sz="0" w:space="0" w:color="auto"/>
                    <w:right w:val="none" w:sz="0" w:space="0" w:color="auto"/>
                  </w:divBdr>
                  <w:divsChild>
                    <w:div w:id="1694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28046">
          <w:marLeft w:val="0"/>
          <w:marRight w:val="0"/>
          <w:marTop w:val="0"/>
          <w:marBottom w:val="0"/>
          <w:divBdr>
            <w:top w:val="none" w:sz="0" w:space="0" w:color="auto"/>
            <w:left w:val="none" w:sz="0" w:space="0" w:color="auto"/>
            <w:bottom w:val="none" w:sz="0" w:space="0" w:color="auto"/>
            <w:right w:val="none" w:sz="0" w:space="0" w:color="auto"/>
          </w:divBdr>
        </w:div>
      </w:divsChild>
    </w:div>
    <w:div w:id="1582179434">
      <w:bodyDiv w:val="1"/>
      <w:marLeft w:val="0"/>
      <w:marRight w:val="0"/>
      <w:marTop w:val="0"/>
      <w:marBottom w:val="0"/>
      <w:divBdr>
        <w:top w:val="none" w:sz="0" w:space="0" w:color="auto"/>
        <w:left w:val="none" w:sz="0" w:space="0" w:color="auto"/>
        <w:bottom w:val="none" w:sz="0" w:space="0" w:color="auto"/>
        <w:right w:val="none" w:sz="0" w:space="0" w:color="auto"/>
      </w:divBdr>
    </w:div>
    <w:div w:id="1928072514">
      <w:bodyDiv w:val="1"/>
      <w:marLeft w:val="0"/>
      <w:marRight w:val="0"/>
      <w:marTop w:val="0"/>
      <w:marBottom w:val="0"/>
      <w:divBdr>
        <w:top w:val="none" w:sz="0" w:space="0" w:color="auto"/>
        <w:left w:val="none" w:sz="0" w:space="0" w:color="auto"/>
        <w:bottom w:val="none" w:sz="0" w:space="0" w:color="auto"/>
        <w:right w:val="none" w:sz="0" w:space="0" w:color="auto"/>
      </w:divBdr>
      <w:divsChild>
        <w:div w:id="321933023">
          <w:marLeft w:val="0"/>
          <w:marRight w:val="0"/>
          <w:marTop w:val="0"/>
          <w:marBottom w:val="0"/>
          <w:divBdr>
            <w:top w:val="none" w:sz="0" w:space="0" w:color="auto"/>
            <w:left w:val="none" w:sz="0" w:space="0" w:color="auto"/>
            <w:bottom w:val="none" w:sz="0" w:space="0" w:color="auto"/>
            <w:right w:val="none" w:sz="0" w:space="0" w:color="auto"/>
          </w:divBdr>
        </w:div>
        <w:div w:id="801311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open.ac.uk/writing-in-your-own-words" TargetMode="External"/><Relationship Id="rId5" Type="http://schemas.openxmlformats.org/officeDocument/2006/relationships/hyperlink" Target="https://learn2.open.ac.uk/mod/oucontent/olink.php?id=1732650&amp;targetdoc=OU+Law+School+Undergraduate+Assessment+Gu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2009</Words>
  <Characters>11456</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Questions</vt:lpstr>
      <vt:lpstr>    Question 1</vt:lpstr>
      <vt:lpstr>    Question 2</vt:lpstr>
      <vt:lpstr>        Extracts from the Ivory Act 2018</vt:lpstr>
      <vt:lpstr>    Question 3</vt:lpstr>
      <vt:lpstr>Learning outcomes</vt:lpstr>
      <vt:lpstr>    Knowledge and understanding:</vt:lpstr>
      <vt:lpstr>    Skills:</vt:lpstr>
      <vt:lpstr>General advice</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Ogieriakhi</dc:creator>
  <cp:keywords/>
  <dc:description/>
  <cp:lastModifiedBy>michael mutinda</cp:lastModifiedBy>
  <cp:revision>2</cp:revision>
  <dcterms:created xsi:type="dcterms:W3CDTF">2021-05-27T08:44:00Z</dcterms:created>
  <dcterms:modified xsi:type="dcterms:W3CDTF">2021-05-27T08:44:00Z</dcterms:modified>
</cp:coreProperties>
</file>